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6379"/>
        <w:gridCol w:w="2693"/>
      </w:tblGrid>
      <w:tr w:rsidR="006A66A6" w:rsidRPr="009931B8" w14:paraId="2A6B1E06" w14:textId="77777777" w:rsidTr="00F96A06">
        <w:trPr>
          <w:trHeight w:val="163"/>
        </w:trPr>
        <w:tc>
          <w:tcPr>
            <w:tcW w:w="6379" w:type="dxa"/>
            <w:tcBorders>
              <w:bottom w:val="single" w:sz="4" w:space="0" w:color="auto"/>
            </w:tcBorders>
          </w:tcPr>
          <w:p w14:paraId="35804481" w14:textId="77777777" w:rsidR="006A66A6" w:rsidRPr="009931B8" w:rsidRDefault="006A66A6" w:rsidP="007123E6">
            <w:pPr>
              <w:jc w:val="both"/>
              <w:rPr>
                <w:rFonts w:ascii="Arial" w:hAnsi="Arial"/>
                <w:b/>
                <w:bCs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D0D43E" w14:textId="4DBE3B38" w:rsidR="006A66A6" w:rsidRPr="009931B8" w:rsidRDefault="006A66A6" w:rsidP="007123E6">
            <w:pPr>
              <w:spacing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3E6766" w:rsidRPr="002C3150" w14:paraId="3D31D1FB" w14:textId="77777777" w:rsidTr="00F96A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072" w:type="dxa"/>
            <w:gridSpan w:val="2"/>
          </w:tcPr>
          <w:p w14:paraId="6A6B9B4D" w14:textId="686946B0" w:rsidR="003E6766" w:rsidRPr="009931B8" w:rsidRDefault="002E6252" w:rsidP="00D53977">
            <w:pPr>
              <w:spacing w:before="100" w:after="0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 xml:space="preserve">Concept - </w:t>
            </w:r>
            <w:r w:rsidR="003E6766" w:rsidRPr="009931B8">
              <w:rPr>
                <w:rFonts w:ascii="Arial" w:hAnsi="Arial" w:cs="Arial"/>
                <w:b/>
                <w:sz w:val="28"/>
                <w:lang w:val="en-GB"/>
              </w:rPr>
              <w:t xml:space="preserve">CABUREK </w:t>
            </w:r>
            <w:r w:rsidR="00A25122">
              <w:rPr>
                <w:rFonts w:ascii="Arial" w:hAnsi="Arial" w:cs="Arial"/>
                <w:b/>
                <w:sz w:val="28"/>
                <w:lang w:val="en-GB"/>
              </w:rPr>
              <w:t xml:space="preserve">as part of </w:t>
            </w:r>
            <w:r w:rsidR="00FC4ACE">
              <w:rPr>
                <w:rFonts w:ascii="Arial" w:hAnsi="Arial" w:cs="Arial"/>
                <w:b/>
                <w:sz w:val="28"/>
                <w:lang w:val="en-GB"/>
              </w:rPr>
              <w:t>the MEDEA</w:t>
            </w:r>
            <w:r w:rsidR="00A25122">
              <w:rPr>
                <w:rFonts w:ascii="Arial" w:hAnsi="Arial" w:cs="Arial"/>
                <w:b/>
                <w:sz w:val="28"/>
                <w:lang w:val="en-GB"/>
              </w:rPr>
              <w:t xml:space="preserve"> 2</w:t>
            </w:r>
            <w:r w:rsidR="00FC4ACE">
              <w:rPr>
                <w:rFonts w:ascii="Arial" w:hAnsi="Arial" w:cs="Arial"/>
                <w:b/>
                <w:sz w:val="28"/>
                <w:lang w:val="en-GB"/>
              </w:rPr>
              <w:t xml:space="preserve"> project</w:t>
            </w:r>
          </w:p>
        </w:tc>
      </w:tr>
      <w:tr w:rsidR="00536712" w:rsidRPr="002C3150" w14:paraId="3E7994B4" w14:textId="77777777" w:rsidTr="00E36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B51716F" w14:textId="77777777" w:rsidR="00536712" w:rsidRPr="002E6252" w:rsidRDefault="00536712" w:rsidP="007123E6">
            <w:pPr>
              <w:jc w:val="both"/>
              <w:rPr>
                <w:rFonts w:ascii="Arial" w:hAnsi="Arial"/>
                <w:b/>
                <w:sz w:val="6"/>
                <w:lang w:val="en-US"/>
              </w:rPr>
            </w:pPr>
          </w:p>
        </w:tc>
      </w:tr>
    </w:tbl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425"/>
        <w:gridCol w:w="7221"/>
      </w:tblGrid>
      <w:tr w:rsidR="00536712" w:rsidRPr="002C3150" w14:paraId="11907E13" w14:textId="77777777" w:rsidTr="006E6F30">
        <w:tc>
          <w:tcPr>
            <w:tcW w:w="469" w:type="dxa"/>
          </w:tcPr>
          <w:p w14:paraId="2DEFEF4D" w14:textId="77777777" w:rsidR="00CC4D0E" w:rsidRDefault="00CC4D0E" w:rsidP="007123E6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</w:p>
          <w:p w14:paraId="033BF8A7" w14:textId="60154369" w:rsidR="00536712" w:rsidRPr="006E651E" w:rsidRDefault="006E6F30" w:rsidP="007123E6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>Background</w:t>
            </w:r>
            <w:r w:rsidR="00536712" w:rsidRPr="006E651E"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 xml:space="preserve"> </w:t>
            </w:r>
          </w:p>
          <w:p w14:paraId="2EBEBED0" w14:textId="77777777" w:rsidR="00536712" w:rsidRPr="006E651E" w:rsidRDefault="00536712" w:rsidP="007123E6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8177" w:type="dxa"/>
          </w:tcPr>
          <w:p w14:paraId="18E42BCB" w14:textId="2F61E79C" w:rsidR="006E6F30" w:rsidRDefault="006E6F30" w:rsidP="0010065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CE0EB2" w14:textId="66C7EBDF" w:rsidR="00BB37A2" w:rsidRDefault="00BB37A2" w:rsidP="0010065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>“CABUREK” (“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Ca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pacity 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uilding in Technical and Scientific Organizations 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U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sing 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egional 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xperiences and 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K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>nowledge”) is an instrument developed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 xml:space="preserve"> and implemented</w:t>
            </w:r>
            <w:r w:rsidR="00C4737C">
              <w:rPr>
                <w:rFonts w:ascii="Arial" w:hAnsi="Arial" w:cs="Arial"/>
                <w:sz w:val="20"/>
                <w:szCs w:val="20"/>
                <w:lang w:val="en-GB"/>
              </w:rPr>
              <w:t xml:space="preserve"> by PTB 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>in cooperation</w:t>
            </w:r>
            <w:r w:rsidR="00C4737C">
              <w:rPr>
                <w:rFonts w:ascii="Arial" w:hAnsi="Arial" w:cs="Arial"/>
                <w:sz w:val="20"/>
                <w:szCs w:val="20"/>
                <w:lang w:val="en-GB"/>
              </w:rPr>
              <w:t xml:space="preserve"> with partner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4737C">
              <w:rPr>
                <w:rFonts w:ascii="Arial" w:hAnsi="Arial" w:cs="Arial"/>
                <w:sz w:val="20"/>
                <w:szCs w:val="20"/>
                <w:lang w:val="en-GB"/>
              </w:rPr>
              <w:t xml:space="preserve"> in Latin America and the Caribbean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In its first two program cycles (2009-2014), the instrument was known as </w:t>
            </w:r>
            <w:r w:rsidRPr="006E651E">
              <w:rPr>
                <w:rFonts w:ascii="Arial" w:hAnsi="Arial" w:cs="Arial"/>
                <w:i/>
                <w:sz w:val="20"/>
                <w:szCs w:val="20"/>
                <w:lang w:val="en-GB"/>
              </w:rPr>
              <w:t>“NMI-</w:t>
            </w:r>
            <w:r w:rsidR="002C315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E65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Metrology User Relations” 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>and aimed at enhancing competitiveness and innovation through the strengthening of the NMI’s relations with metrology users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>a wider, better and more efficient use of the capabilities of NMIs by industry, commerce, regulators and other users.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="0010065B">
              <w:rPr>
                <w:rFonts w:ascii="Arial" w:hAnsi="Arial" w:cs="Arial"/>
                <w:sz w:val="20"/>
                <w:szCs w:val="20"/>
                <w:lang w:val="en-GB"/>
              </w:rPr>
              <w:t xml:space="preserve">fter these two cycles, the experiences and methodology </w:t>
            </w:r>
            <w:proofErr w:type="gramStart"/>
            <w:r w:rsidR="0010065B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proofErr w:type="gramEnd"/>
            <w:r w:rsidR="0010065B">
              <w:rPr>
                <w:rFonts w:ascii="Arial" w:hAnsi="Arial" w:cs="Arial"/>
                <w:sz w:val="20"/>
                <w:szCs w:val="20"/>
                <w:lang w:val="en-GB"/>
              </w:rPr>
              <w:t xml:space="preserve"> systematized and the CABUREK concept has been developed. The third program cycle has been run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(2016-2018) in the Latin American and Caribbean Region under the name “CABUREK”. </w:t>
            </w:r>
          </w:p>
          <w:p w14:paraId="611680B4" w14:textId="1D70335B" w:rsidR="00BB37A2" w:rsidRPr="006E651E" w:rsidRDefault="00BB37A2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Within the MEDEA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 2 (</w:t>
            </w:r>
            <w:r w:rsidR="00243C38" w:rsidRPr="002C3150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etrology – </w:t>
            </w:r>
            <w:r w:rsidR="00243C38" w:rsidRPr="002C315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nabling </w:t>
            </w:r>
            <w:r w:rsidR="00243C38" w:rsidRPr="002C3150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eveloping </w:t>
            </w:r>
            <w:r w:rsidR="00243C38" w:rsidRPr="002C315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conomies in </w:t>
            </w:r>
            <w:r w:rsidR="00243C38" w:rsidRPr="002C3150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sia)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project, the CABUREK instr</w:t>
            </w:r>
            <w:r w:rsidR="001B7C48">
              <w:rPr>
                <w:rFonts w:ascii="Arial" w:hAnsi="Arial" w:cs="Arial"/>
                <w:sz w:val="20"/>
                <w:szCs w:val="20"/>
                <w:lang w:val="en-GB"/>
              </w:rPr>
              <w:t>ument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C730E">
              <w:rPr>
                <w:rFonts w:ascii="Arial" w:hAnsi="Arial" w:cs="Arial"/>
                <w:sz w:val="20"/>
                <w:szCs w:val="20"/>
                <w:lang w:val="en-GB"/>
              </w:rPr>
              <w:t>will</w:t>
            </w:r>
            <w:r w:rsidR="003F3C51">
              <w:rPr>
                <w:rFonts w:ascii="Arial" w:hAnsi="Arial" w:cs="Arial"/>
                <w:sz w:val="20"/>
                <w:szCs w:val="20"/>
                <w:lang w:val="en-GB"/>
              </w:rPr>
              <w:t xml:space="preserve"> be transferred to the Asian 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egion and </w:t>
            </w:r>
            <w:r w:rsidR="00AC730E">
              <w:rPr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 implemented from 2018-2020. </w:t>
            </w:r>
          </w:p>
          <w:p w14:paraId="751CE24E" w14:textId="77777777" w:rsidR="00DD3354" w:rsidRDefault="00DD3354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>The key principles of the instrument are the following:</w:t>
            </w:r>
          </w:p>
          <w:p w14:paraId="7022B123" w14:textId="77777777" w:rsidR="00E36C88" w:rsidRPr="006E651E" w:rsidRDefault="00E36C88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F26DA5" w14:textId="222DB8AF" w:rsidR="00DD3354" w:rsidRDefault="00243C38" w:rsidP="007123E6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3C38">
              <w:rPr>
                <w:rFonts w:ascii="Arial" w:hAnsi="Arial" w:cs="Arial"/>
                <w:sz w:val="20"/>
                <w:szCs w:val="20"/>
                <w:lang w:val="en-GB"/>
              </w:rPr>
              <w:t>It is the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</w:t>
            </w:r>
            <w:r w:rsidR="00DD3354" w:rsidRPr="00171D75">
              <w:rPr>
                <w:rFonts w:ascii="Arial" w:hAnsi="Arial" w:cs="Arial"/>
                <w:b/>
                <w:sz w:val="20"/>
                <w:szCs w:val="20"/>
                <w:lang w:val="en-GB"/>
              </w:rPr>
              <w:t>ull responsibility of each NMI</w:t>
            </w:r>
            <w:r w:rsidR="00DC46B7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Legal Metrology authority (</w:t>
            </w:r>
            <w:r w:rsidR="00DC46B7">
              <w:rPr>
                <w:rFonts w:ascii="Arial" w:hAnsi="Arial" w:cs="Arial"/>
                <w:b/>
                <w:sz w:val="20"/>
                <w:szCs w:val="20"/>
                <w:lang w:val="en-GB"/>
              </w:rPr>
              <w:t>LMA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DD3354"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 to identify, design and implement its own</w:t>
            </w:r>
            <w:r w:rsidR="00653B52">
              <w:rPr>
                <w:rFonts w:ascii="Arial" w:hAnsi="Arial" w:cs="Arial"/>
                <w:sz w:val="20"/>
                <w:szCs w:val="20"/>
                <w:lang w:val="en-GB"/>
              </w:rPr>
              <w:t xml:space="preserve"> 2-year </w:t>
            </w:r>
            <w:r w:rsidR="00A4729C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</w:t>
            </w:r>
            <w:r w:rsidR="00DD3354" w:rsidRPr="006E651E">
              <w:rPr>
                <w:rFonts w:ascii="Arial" w:hAnsi="Arial" w:cs="Arial"/>
                <w:sz w:val="20"/>
                <w:szCs w:val="20"/>
                <w:lang w:val="en-GB"/>
              </w:rPr>
              <w:t>project(s)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DD3354" w:rsidRPr="006E651E">
              <w:rPr>
                <w:rFonts w:ascii="Arial" w:hAnsi="Arial" w:cs="Arial"/>
                <w:sz w:val="20"/>
                <w:szCs w:val="20"/>
                <w:lang w:val="en-GB"/>
              </w:rPr>
              <w:t xml:space="preserve"> with periodic work plans and report</w:t>
            </w:r>
            <w:r w:rsidR="00653B52">
              <w:rPr>
                <w:rFonts w:ascii="Arial" w:hAnsi="Arial" w:cs="Arial"/>
                <w:sz w:val="20"/>
                <w:szCs w:val="20"/>
                <w:lang w:val="en-GB"/>
              </w:rPr>
              <w:t xml:space="preserve">s about activities and outcomes. </w:t>
            </w:r>
          </w:p>
          <w:p w14:paraId="58653C5D" w14:textId="77777777" w:rsidR="00E36C88" w:rsidRPr="006E651E" w:rsidRDefault="00E36C88" w:rsidP="007123E6">
            <w:pPr>
              <w:pStyle w:val="Listenabsatz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352163" w14:textId="17351E39" w:rsidR="00F12675" w:rsidRDefault="00243C38" w:rsidP="007123E6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MEDEA-CABUREK will provide </w:t>
            </w:r>
            <w:r w:rsidR="00DD3354" w:rsidRPr="00171D75">
              <w:rPr>
                <w:rFonts w:ascii="Arial" w:hAnsi="Arial" w:cs="Arial"/>
                <w:b/>
                <w:sz w:val="20"/>
                <w:szCs w:val="20"/>
                <w:lang w:val="en-GB"/>
              </w:rPr>
              <w:t>support</w:t>
            </w:r>
            <w:r w:rsidR="00DD3354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selected and </w:t>
            </w:r>
            <w:r w:rsidR="00DD3354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committed </w:t>
            </w:r>
            <w:r w:rsidR="00AC730E">
              <w:rPr>
                <w:rFonts w:ascii="Arial" w:hAnsi="Arial" w:cs="Arial"/>
                <w:sz w:val="20"/>
                <w:szCs w:val="20"/>
                <w:lang w:val="en-GB"/>
              </w:rPr>
              <w:t>economies</w:t>
            </w:r>
            <w:r w:rsidR="00AC730E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D3354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through workshops for face-to-face </w:t>
            </w:r>
            <w:r w:rsidR="00A4729C">
              <w:rPr>
                <w:rFonts w:ascii="Arial" w:hAnsi="Arial" w:cs="Arial"/>
                <w:sz w:val="20"/>
                <w:szCs w:val="20"/>
                <w:lang w:val="en-GB"/>
              </w:rPr>
              <w:t xml:space="preserve">regional </w:t>
            </w:r>
            <w:r w:rsidR="00DD3354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exchange of experiences </w:t>
            </w:r>
            <w:r w:rsidR="006E651E" w:rsidRPr="00171D75">
              <w:rPr>
                <w:rFonts w:ascii="Arial" w:hAnsi="Arial" w:cs="Arial"/>
                <w:sz w:val="20"/>
                <w:szCs w:val="20"/>
                <w:lang w:val="en-GB"/>
              </w:rPr>
              <w:t>(every ~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 months, 5 workshops in total), </w:t>
            </w:r>
            <w:r w:rsidR="006E651E" w:rsidRPr="00171D75"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  <w:r w:rsidR="00653B52">
              <w:rPr>
                <w:rFonts w:ascii="Arial" w:hAnsi="Arial" w:cs="Arial"/>
                <w:sz w:val="20"/>
                <w:szCs w:val="20"/>
                <w:lang w:val="en-GB"/>
              </w:rPr>
              <w:t xml:space="preserve"> and monitoring</w:t>
            </w:r>
            <w:r w:rsidR="006E651E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their project(s), specific inputs and training, coaching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 w:rsidR="006E651E"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provision of guides and web-sessions. </w:t>
            </w:r>
          </w:p>
          <w:p w14:paraId="1C4E7F40" w14:textId="77777777" w:rsidR="00F12675" w:rsidRPr="00F12675" w:rsidRDefault="00F12675" w:rsidP="00F12675">
            <w:pPr>
              <w:pStyle w:val="Listenabsatz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42EF94" w14:textId="2ABE1EC9" w:rsidR="00171D75" w:rsidRDefault="00171D75" w:rsidP="007123E6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participants </w:t>
            </w:r>
            <w:r w:rsidR="00AC730E">
              <w:rPr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form </w:t>
            </w:r>
            <w:r w:rsidRPr="00171D75">
              <w:rPr>
                <w:rFonts w:ascii="Arial" w:hAnsi="Arial" w:cs="Arial"/>
                <w:b/>
                <w:sz w:val="20"/>
                <w:szCs w:val="20"/>
                <w:lang w:val="en-GB"/>
              </w:rPr>
              <w:t>thematic working groups</w:t>
            </w:r>
            <w:r w:rsidR="001853B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1853B6">
              <w:rPr>
                <w:rFonts w:ascii="Arial" w:hAnsi="Arial" w:cs="Arial"/>
                <w:sz w:val="20"/>
                <w:szCs w:val="20"/>
                <w:lang w:val="en-GB"/>
              </w:rPr>
              <w:t xml:space="preserve"> which</w:t>
            </w:r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they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 will</w:t>
            </w:r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receive coaching and input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from experts, exchange experiences and learn from each other </w:t>
            </w:r>
            <w:proofErr w:type="gramStart"/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>in order to</w:t>
            </w:r>
            <w:proofErr w:type="gramEnd"/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use existing regional experience and knowledge for the</w:t>
            </w:r>
            <w:r w:rsidR="00A4729C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design, planning and implementation of their</w:t>
            </w:r>
            <w:r w:rsidRPr="00171D75">
              <w:rPr>
                <w:rFonts w:ascii="Arial" w:hAnsi="Arial" w:cs="Arial"/>
                <w:sz w:val="20"/>
                <w:szCs w:val="20"/>
                <w:lang w:val="en-GB"/>
              </w:rPr>
              <w:t xml:space="preserve"> national projects. </w:t>
            </w:r>
            <w:r w:rsidR="00F417EC">
              <w:rPr>
                <w:rFonts w:ascii="Arial" w:hAnsi="Arial" w:cs="Arial"/>
                <w:sz w:val="20"/>
                <w:szCs w:val="20"/>
                <w:lang w:val="en-GB"/>
              </w:rPr>
              <w:t>The number of members per Working Group may vary acco</w:t>
            </w:r>
            <w:r w:rsidR="002646AE">
              <w:rPr>
                <w:rFonts w:ascii="Arial" w:hAnsi="Arial" w:cs="Arial"/>
                <w:sz w:val="20"/>
                <w:szCs w:val="20"/>
                <w:lang w:val="en-GB"/>
              </w:rPr>
              <w:t xml:space="preserve">rding to the interest raised, though it is advisable that no group should exceed 10 people. </w:t>
            </w:r>
          </w:p>
          <w:p w14:paraId="51C1D266" w14:textId="77777777" w:rsidR="00A335CF" w:rsidRPr="00A335CF" w:rsidRDefault="00A335CF" w:rsidP="00A335CF">
            <w:pPr>
              <w:pStyle w:val="Listenabsatz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516E83" w14:textId="0FDC1FA3" w:rsidR="00A335CF" w:rsidRDefault="00A335CF" w:rsidP="00A335CF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2675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support</w:t>
            </w:r>
            <w:r w:rsidRPr="00F12675">
              <w:rPr>
                <w:rFonts w:ascii="Arial" w:hAnsi="Arial" w:cs="Arial"/>
                <w:sz w:val="20"/>
                <w:szCs w:val="20"/>
                <w:lang w:val="en-GB"/>
              </w:rPr>
              <w:t xml:space="preserve"> for Workshop attendance will be covered by the MEDEA project.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Full funding can be provided to the Developing Economies of the Asia-Pacific.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>MEDEA-</w:t>
            </w:r>
            <w:r w:rsidRPr="00F12675">
              <w:rPr>
                <w:rFonts w:ascii="Arial" w:hAnsi="Arial" w:cs="Arial"/>
                <w:sz w:val="20"/>
                <w:szCs w:val="20"/>
                <w:lang w:val="en-GB"/>
              </w:rPr>
              <w:t>CABUREK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 will not provide </w:t>
            </w:r>
            <w:r w:rsidRPr="00F12675">
              <w:rPr>
                <w:rFonts w:ascii="Arial" w:hAnsi="Arial" w:cs="Arial"/>
                <w:sz w:val="20"/>
                <w:szCs w:val="20"/>
                <w:lang w:val="en-GB"/>
              </w:rPr>
              <w:t xml:space="preserve">financial support for the implementation of the national project(s). </w:t>
            </w:r>
          </w:p>
          <w:p w14:paraId="16EB08EB" w14:textId="77777777" w:rsidR="00A335CF" w:rsidRDefault="00A335CF" w:rsidP="00A335CF">
            <w:pPr>
              <w:pStyle w:val="Listenabsatz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14625C" w14:textId="1F132040" w:rsidR="00A7319D" w:rsidRDefault="00A7319D" w:rsidP="00A7319D">
            <w:pPr>
              <w:pStyle w:val="Listenabsatz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EDA2EF" w14:textId="5BBB4D24" w:rsidR="005533B6" w:rsidRPr="00171D75" w:rsidRDefault="005533B6" w:rsidP="00F12675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</w:p>
        </w:tc>
      </w:tr>
      <w:tr w:rsidR="00C7063C" w:rsidRPr="006E651E" w14:paraId="3907B924" w14:textId="77777777" w:rsidTr="006E6F30">
        <w:tc>
          <w:tcPr>
            <w:tcW w:w="8646" w:type="dxa"/>
            <w:gridSpan w:val="2"/>
          </w:tcPr>
          <w:p w14:paraId="60253EB3" w14:textId="77777777" w:rsidR="00C7063C" w:rsidRDefault="00C7063C" w:rsidP="007123E6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  <w:r w:rsidRPr="006E651E"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lastRenderedPageBreak/>
              <w:t>Schedule and next steps</w:t>
            </w:r>
          </w:p>
          <w:p w14:paraId="6F415932" w14:textId="3C067E3A" w:rsidR="00CC4D0E" w:rsidRPr="006E651E" w:rsidRDefault="00CC4D0E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B37A2" w:rsidRPr="006E651E" w14:paraId="1AE08F5C" w14:textId="77777777" w:rsidTr="006E6F30">
        <w:tc>
          <w:tcPr>
            <w:tcW w:w="469" w:type="dxa"/>
          </w:tcPr>
          <w:p w14:paraId="78567C28" w14:textId="4F9FC260" w:rsidR="00BB37A2" w:rsidRPr="006E651E" w:rsidRDefault="006E6F30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Schedule: </w:t>
            </w:r>
          </w:p>
        </w:tc>
        <w:tc>
          <w:tcPr>
            <w:tcW w:w="8177" w:type="dxa"/>
          </w:tcPr>
          <w:p w14:paraId="55C82CAE" w14:textId="77777777" w:rsidR="00BB37A2" w:rsidRDefault="00BB37A2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October</w:t>
            </w:r>
            <w:r w:rsidR="008C49D6">
              <w:rPr>
                <w:rFonts w:ascii="Arial" w:hAnsi="Arial" w:cs="Arial"/>
                <w:b/>
                <w:sz w:val="20"/>
                <w:szCs w:val="20"/>
                <w:lang w:val="en-GB"/>
              </w:rPr>
              <w:t>/November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2018</w:t>
            </w:r>
            <w:r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4B7E4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quarter 2020</w:t>
            </w:r>
          </w:p>
          <w:p w14:paraId="28E601D2" w14:textId="42A52D50" w:rsidR="002646AE" w:rsidRPr="006E651E" w:rsidRDefault="002646AE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B37A2" w:rsidRPr="002C3150" w14:paraId="53309945" w14:textId="77777777" w:rsidTr="006E6F30">
        <w:tc>
          <w:tcPr>
            <w:tcW w:w="469" w:type="dxa"/>
          </w:tcPr>
          <w:p w14:paraId="33E88D7F" w14:textId="7107A235" w:rsidR="00BB37A2" w:rsidRPr="006E651E" w:rsidRDefault="00243C38" w:rsidP="00CC4D0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Deadline for application submission</w:t>
            </w:r>
            <w:r w:rsidR="00BB37A2" w:rsidRPr="006E651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177" w:type="dxa"/>
          </w:tcPr>
          <w:p w14:paraId="32E6646E" w14:textId="77777777" w:rsidR="006E6F30" w:rsidRDefault="00DE1EF0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3977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D539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D1990" w:rsidRPr="00D539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August </w:t>
            </w:r>
            <w:r w:rsidR="00BB37A2" w:rsidRPr="00D5397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2018 </w:t>
            </w:r>
            <w:r w:rsidR="00BB37A2" w:rsidRPr="008D1990">
              <w:rPr>
                <w:rFonts w:ascii="Arial" w:hAnsi="Arial" w:cs="Arial"/>
                <w:sz w:val="20"/>
                <w:szCs w:val="20"/>
                <w:lang w:val="en-GB"/>
              </w:rPr>
              <w:t>(including application for specific Working Groups and identification of participants</w:t>
            </w:r>
            <w:r w:rsidR="00BB37A2" w:rsidRPr="006E651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264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E4EAF3" w14:textId="3EF0B1EB" w:rsidR="00BB37A2" w:rsidRPr="006E6F30" w:rsidRDefault="002646AE" w:rsidP="007123E6">
            <w:pPr>
              <w:spacing w:line="276" w:lineRule="auto"/>
              <w:jc w:val="both"/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en-GB"/>
              </w:rPr>
            </w:pPr>
            <w:r w:rsidRPr="006E6F30">
              <w:rPr>
                <w:rFonts w:ascii="Arial" w:hAnsi="Arial" w:cs="Arial"/>
                <w:b/>
                <w:color w:val="4F81BD" w:themeColor="accent1"/>
                <w:sz w:val="20"/>
                <w:szCs w:val="20"/>
                <w:lang w:val="en-GB"/>
              </w:rPr>
              <w:t>PLEASE SEE REGISTRATION FORM IN ANNEX 1</w:t>
            </w:r>
          </w:p>
          <w:p w14:paraId="7B890924" w14:textId="7B66E826" w:rsidR="002646AE" w:rsidRPr="006E651E" w:rsidRDefault="002646AE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B37A2" w:rsidRPr="002C3150" w14:paraId="47D5B0FA" w14:textId="77777777" w:rsidTr="006E6F30">
        <w:tc>
          <w:tcPr>
            <w:tcW w:w="469" w:type="dxa"/>
          </w:tcPr>
          <w:p w14:paraId="0A74DB30" w14:textId="77777777" w:rsidR="00BB37A2" w:rsidRPr="006E651E" w:rsidRDefault="00BB37A2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651E">
              <w:rPr>
                <w:rFonts w:ascii="Arial" w:hAnsi="Arial" w:cs="Arial"/>
                <w:sz w:val="20"/>
                <w:szCs w:val="20"/>
                <w:lang w:val="en-GB"/>
              </w:rPr>
              <w:t>Kick-off Workshop:</w:t>
            </w:r>
          </w:p>
        </w:tc>
        <w:tc>
          <w:tcPr>
            <w:tcW w:w="8177" w:type="dxa"/>
          </w:tcPr>
          <w:p w14:paraId="4009823A" w14:textId="0B1B52DF" w:rsidR="00BB37A2" w:rsidRPr="001612A0" w:rsidRDefault="00BB37A2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612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October </w:t>
            </w:r>
            <w:r w:rsidR="00FA4C7F" w:rsidRPr="006E651E">
              <w:rPr>
                <w:rFonts w:ascii="Arial" w:hAnsi="Arial" w:cs="Arial"/>
                <w:b/>
                <w:sz w:val="20"/>
                <w:szCs w:val="20"/>
                <w:lang w:val="en-GB"/>
              </w:rPr>
              <w:t>–</w:t>
            </w:r>
            <w:r w:rsidRPr="001612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02 November 2018</w:t>
            </w:r>
            <w:r w:rsidRPr="001612A0">
              <w:rPr>
                <w:rFonts w:ascii="Arial" w:hAnsi="Arial" w:cs="Arial"/>
                <w:sz w:val="20"/>
                <w:szCs w:val="20"/>
                <w:lang w:val="en-US"/>
              </w:rPr>
              <w:t xml:space="preserve"> at NIMT (Bangkok, Thailand)</w:t>
            </w:r>
          </w:p>
        </w:tc>
      </w:tr>
      <w:tr w:rsidR="00C7063C" w:rsidRPr="002C3150" w14:paraId="09EFC64B" w14:textId="77777777" w:rsidTr="006E6F30">
        <w:tc>
          <w:tcPr>
            <w:tcW w:w="469" w:type="dxa"/>
          </w:tcPr>
          <w:p w14:paraId="6BF352B7" w14:textId="77777777" w:rsidR="00C7063C" w:rsidRPr="001612A0" w:rsidRDefault="00C7063C" w:rsidP="007123E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7" w:type="dxa"/>
          </w:tcPr>
          <w:p w14:paraId="70B925E5" w14:textId="77777777" w:rsidR="00C7063C" w:rsidRPr="001612A0" w:rsidRDefault="00C7063C" w:rsidP="007123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7063C" w:rsidRPr="002E6252" w14:paraId="0760B58D" w14:textId="77777777" w:rsidTr="006E6F30">
        <w:tc>
          <w:tcPr>
            <w:tcW w:w="469" w:type="dxa"/>
          </w:tcPr>
          <w:p w14:paraId="4E96E7B6" w14:textId="4A0962AB" w:rsidR="00C7063C" w:rsidRPr="006E651E" w:rsidRDefault="00CC4D0E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>Contacts</w:t>
            </w:r>
            <w:r w:rsidR="002646AE"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77" w:type="dxa"/>
          </w:tcPr>
          <w:p w14:paraId="3CF9DB0A" w14:textId="6C67A00C" w:rsidR="002E6252" w:rsidRDefault="002E6252" w:rsidP="007123E6">
            <w:pPr>
              <w:pStyle w:val="KeinLeerraum"/>
              <w:spacing w:line="276" w:lineRule="auto"/>
              <w:ind w:right="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252">
              <w:rPr>
                <w:rFonts w:ascii="Arial" w:hAnsi="Arial" w:cs="Arial"/>
                <w:sz w:val="20"/>
                <w:szCs w:val="20"/>
              </w:rPr>
              <w:t>Dr. Sabine Greiner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E6252">
              <w:rPr>
                <w:rFonts w:ascii="Arial" w:hAnsi="Arial" w:cs="Arial"/>
                <w:sz w:val="20"/>
                <w:szCs w:val="20"/>
              </w:rPr>
              <w:t xml:space="preserve">Dr. Alexis </w:t>
            </w:r>
            <w:proofErr w:type="spellStart"/>
            <w:r w:rsidRPr="002E6252">
              <w:rPr>
                <w:rFonts w:ascii="Arial" w:hAnsi="Arial" w:cs="Arial"/>
                <w:sz w:val="20"/>
                <w:szCs w:val="20"/>
              </w:rPr>
              <w:t>Valqui</w:t>
            </w:r>
            <w:proofErr w:type="spellEnd"/>
            <w:r w:rsidRPr="002E6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187B6A" w14:textId="0A77CF81" w:rsidR="00C7063C" w:rsidRPr="00692AD9" w:rsidRDefault="002C3150" w:rsidP="007123E6">
            <w:pPr>
              <w:pStyle w:val="KeinLeerraum"/>
              <w:spacing w:line="276" w:lineRule="auto"/>
              <w:ind w:right="440"/>
              <w:jc w:val="both"/>
              <w:rPr>
                <w:sz w:val="20"/>
                <w:szCs w:val="20"/>
              </w:rPr>
            </w:pPr>
            <w:hyperlink r:id="rId8" w:history="1">
              <w:r w:rsidR="002E6252" w:rsidRPr="002E6252">
                <w:rPr>
                  <w:rStyle w:val="Hyperlink"/>
                  <w:rFonts w:ascii="Arial" w:hAnsi="Arial" w:cs="Arial"/>
                  <w:sz w:val="20"/>
                  <w:szCs w:val="20"/>
                </w:rPr>
                <w:t>Sabine.Greiner@ptb.de</w:t>
              </w:r>
            </w:hyperlink>
            <w:r w:rsidR="00C7063C" w:rsidRPr="002E6252">
              <w:tab/>
            </w:r>
            <w:r w:rsidR="00C7063C" w:rsidRPr="002E6252">
              <w:tab/>
            </w:r>
            <w:hyperlink r:id="rId9" w:history="1">
              <w:r w:rsidR="002E6252" w:rsidRPr="00692AD9">
                <w:rPr>
                  <w:rStyle w:val="Hyperlink"/>
                  <w:rFonts w:ascii="Arial" w:hAnsi="Arial" w:cs="Arial"/>
                  <w:sz w:val="20"/>
                  <w:szCs w:val="20"/>
                </w:rPr>
                <w:t>Alexis.Valqui@gmail.com</w:t>
              </w:r>
            </w:hyperlink>
          </w:p>
          <w:p w14:paraId="66C0A401" w14:textId="3DFAD05E" w:rsidR="002E6252" w:rsidRPr="002E6252" w:rsidRDefault="002E6252" w:rsidP="007123E6">
            <w:pPr>
              <w:pStyle w:val="KeinLeerraum"/>
              <w:spacing w:line="276" w:lineRule="auto"/>
              <w:ind w:right="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C7F" w:rsidRPr="002C3150" w14:paraId="5DDAEB13" w14:textId="77777777" w:rsidTr="006E6F30">
        <w:tc>
          <w:tcPr>
            <w:tcW w:w="469" w:type="dxa"/>
          </w:tcPr>
          <w:p w14:paraId="67B5A682" w14:textId="1BA6E793" w:rsidR="00536712" w:rsidRPr="008C53CA" w:rsidRDefault="00C7063C" w:rsidP="007123E6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  <w:r w:rsidRPr="008C53CA">
              <w:br w:type="page"/>
            </w:r>
            <w:r w:rsidR="00536712" w:rsidRPr="008C53CA"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>Working Groups</w:t>
            </w:r>
            <w:r w:rsidR="007B2FF0" w:rsidRPr="008C53CA"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 xml:space="preserve"> </w:t>
            </w:r>
          </w:p>
          <w:p w14:paraId="3EC1C60F" w14:textId="77777777" w:rsidR="00536712" w:rsidRPr="008C53CA" w:rsidRDefault="00536712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77" w:type="dxa"/>
          </w:tcPr>
          <w:p w14:paraId="2AD7F874" w14:textId="72AD741C" w:rsidR="00171D75" w:rsidRPr="008C53CA" w:rsidRDefault="00171D75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During 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>the MEDEA 2 Planning W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 xml:space="preserve"> held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>on 4</w:t>
            </w:r>
            <w:r w:rsidR="00FA4C7F" w:rsidRPr="008C53C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and 5</w:t>
            </w:r>
            <w:r w:rsidR="00FA4C7F" w:rsidRPr="008C53C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 xml:space="preserve"> July 2018 in </w:t>
            </w:r>
            <w:proofErr w:type="spellStart"/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>HongKong</w:t>
            </w:r>
            <w:proofErr w:type="spellEnd"/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>participants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from APMP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(Asia-Pacific Metrology Programme) 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and APLMF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(Asia-Pacific Legal Metrology Forum) 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decided on the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following 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topics for the Working Groups of </w:t>
            </w:r>
            <w:r w:rsidR="008C49D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first CABUREK 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>program cycle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in Asia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(201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>-20</w:t>
            </w:r>
            <w:r w:rsidR="00FA4C7F" w:rsidRPr="008C53CA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): </w:t>
            </w:r>
          </w:p>
          <w:p w14:paraId="3A634D29" w14:textId="77777777" w:rsidR="00171D75" w:rsidRPr="008C53CA" w:rsidRDefault="00171D75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9401A1" w14:textId="2E6E1CA8" w:rsidR="003653B1" w:rsidRPr="008C53CA" w:rsidRDefault="00FA4C7F" w:rsidP="007123E6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b/>
                <w:sz w:val="20"/>
                <w:szCs w:val="20"/>
                <w:lang w:val="en-GB"/>
              </w:rPr>
              <w:t>Awareness Raising for Metrology</w:t>
            </w:r>
          </w:p>
          <w:p w14:paraId="637A750D" w14:textId="77777777" w:rsidR="00C7063C" w:rsidRPr="008C53CA" w:rsidRDefault="00C7063C" w:rsidP="007123E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03D3FE3" w14:textId="6C047F7C" w:rsidR="00653B52" w:rsidRPr="008C53CA" w:rsidRDefault="00FA4C7F" w:rsidP="007123E6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Needs Analysis for Calibration </w:t>
            </w:r>
            <w:r w:rsidR="0010065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Verification </w:t>
            </w:r>
            <w:r w:rsidRPr="008C53CA">
              <w:rPr>
                <w:rFonts w:ascii="Arial" w:hAnsi="Arial" w:cs="Arial"/>
                <w:b/>
                <w:sz w:val="20"/>
                <w:szCs w:val="20"/>
                <w:lang w:val="en-GB"/>
              </w:rPr>
              <w:t>Services</w:t>
            </w:r>
            <w:r w:rsidR="0010065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78C8DDC6" w14:textId="77777777" w:rsidR="00E36C88" w:rsidRPr="008C53CA" w:rsidRDefault="00E36C88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F0EDF0" w14:textId="1069BB88" w:rsidR="00171D75" w:rsidRPr="008C53CA" w:rsidRDefault="00FA4C7F" w:rsidP="007123E6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53CA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 Surveillance</w:t>
            </w:r>
          </w:p>
          <w:p w14:paraId="51E4F783" w14:textId="5FB73237" w:rsidR="008D0FD5" w:rsidRPr="008C53CA" w:rsidRDefault="008D0FD5" w:rsidP="007123E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4F643B8" w14:textId="77777777" w:rsidR="00ED6D92" w:rsidRDefault="00ED6D92" w:rsidP="007123E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A5B4CD6" w14:textId="093D220A" w:rsidR="00FA4C7F" w:rsidRPr="00540A10" w:rsidRDefault="00FA4C7F" w:rsidP="007123E6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D6D92">
              <w:rPr>
                <w:rFonts w:ascii="Arial" w:hAnsi="Arial" w:cs="Arial"/>
                <w:b/>
                <w:sz w:val="20"/>
                <w:szCs w:val="20"/>
                <w:lang w:val="en-GB"/>
              </w:rPr>
              <w:t>Awareness Raising for Metrology</w:t>
            </w:r>
          </w:p>
          <w:p w14:paraId="094F8B64" w14:textId="79D3039D" w:rsidR="00540A10" w:rsidRDefault="00540A10" w:rsidP="007123E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F3E9A7E" w14:textId="72EFB2E8" w:rsidR="00540A10" w:rsidRDefault="00540A10" w:rsidP="007123E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BA3BC04" w14:textId="705AF091" w:rsidR="00D701DD" w:rsidRPr="00540A10" w:rsidRDefault="00540A10" w:rsidP="007123E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Working Group</w:t>
            </w:r>
            <w:r w:rsidR="001B7C48">
              <w:rPr>
                <w:rFonts w:ascii="Arial" w:hAnsi="Arial" w:cs="Arial"/>
                <w:sz w:val="20"/>
                <w:szCs w:val="20"/>
                <w:lang w:val="en-GB"/>
              </w:rPr>
              <w:t xml:space="preserve"> is targeted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 xml:space="preserve">Scientific,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Industrial and Legal Metrology. </w:t>
            </w:r>
            <w:r w:rsidR="00732E14">
              <w:rPr>
                <w:rFonts w:ascii="Arial" w:hAnsi="Arial" w:cs="Arial"/>
                <w:sz w:val="20"/>
                <w:szCs w:val="20"/>
                <w:lang w:val="en-GB"/>
              </w:rPr>
              <w:t xml:space="preserve">It´s objectives are to increase 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>the capacity of the NMIs</w:t>
            </w:r>
            <w:r w:rsidR="00DC46B7">
              <w:rPr>
                <w:rFonts w:ascii="Arial" w:hAnsi="Arial" w:cs="Arial"/>
                <w:sz w:val="20"/>
                <w:szCs w:val="20"/>
                <w:lang w:val="en-GB"/>
              </w:rPr>
              <w:t>/LMAs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43C38">
              <w:rPr>
                <w:rFonts w:ascii="Arial" w:hAnsi="Arial" w:cs="Arial"/>
                <w:sz w:val="20"/>
                <w:szCs w:val="20"/>
                <w:lang w:val="en-GB"/>
              </w:rPr>
              <w:t>undertake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32E14">
              <w:rPr>
                <w:rFonts w:ascii="Arial" w:hAnsi="Arial" w:cs="Arial"/>
                <w:sz w:val="20"/>
                <w:szCs w:val="20"/>
                <w:lang w:val="en-GB"/>
              </w:rPr>
              <w:t>awareness</w:t>
            </w:r>
            <w:r w:rsidR="00103F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>campaigns and use awareness instruments</w:t>
            </w:r>
            <w:r w:rsidR="00C02684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promote</w:t>
            </w:r>
            <w:r w:rsidR="00103F66">
              <w:rPr>
                <w:rFonts w:ascii="Arial" w:hAnsi="Arial" w:cs="Arial"/>
                <w:sz w:val="20"/>
                <w:szCs w:val="20"/>
                <w:lang w:val="en-GB"/>
              </w:rPr>
              <w:t xml:space="preserve"> the importance of the services offered by NMIs</w:t>
            </w:r>
            <w:r w:rsidR="002C3150">
              <w:rPr>
                <w:rFonts w:ascii="Arial" w:hAnsi="Arial" w:cs="Arial"/>
                <w:sz w:val="20"/>
                <w:szCs w:val="20"/>
                <w:lang w:val="en-GB"/>
              </w:rPr>
              <w:t>/LMAs</w:t>
            </w:r>
            <w:bookmarkStart w:id="0" w:name="_GoBack"/>
            <w:bookmarkEnd w:id="0"/>
            <w:r w:rsidR="00103F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732E14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103F66">
              <w:rPr>
                <w:rFonts w:ascii="Arial" w:hAnsi="Arial" w:cs="Arial"/>
                <w:sz w:val="20"/>
                <w:szCs w:val="20"/>
                <w:lang w:val="en-GB"/>
              </w:rPr>
              <w:t>ir c</w:t>
            </w:r>
            <w:r w:rsidR="00732E14">
              <w:rPr>
                <w:rFonts w:ascii="Arial" w:hAnsi="Arial" w:cs="Arial"/>
                <w:sz w:val="20"/>
                <w:szCs w:val="20"/>
                <w:lang w:val="en-GB"/>
              </w:rPr>
              <w:t>lients</w:t>
            </w:r>
            <w:r w:rsidR="00C0268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32E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D1990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8D19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853B6">
              <w:rPr>
                <w:rFonts w:ascii="Arial" w:hAnsi="Arial" w:cs="Arial"/>
                <w:sz w:val="20"/>
                <w:szCs w:val="20"/>
                <w:lang w:val="en-GB"/>
              </w:rPr>
              <w:t>awareness raising</w:t>
            </w:r>
            <w:r w:rsidR="008D1990">
              <w:rPr>
                <w:rFonts w:ascii="Arial" w:hAnsi="Arial" w:cs="Arial"/>
                <w:sz w:val="20"/>
                <w:szCs w:val="20"/>
                <w:lang w:val="en-GB"/>
              </w:rPr>
              <w:t xml:space="preserve"> process will improve the relationship between NMI/LMAs and their users</w:t>
            </w:r>
            <w:r w:rsidR="00FF0B1A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facilitate the engagement with users and stakeholders</w:t>
            </w:r>
            <w:r w:rsidR="008D1990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D701DD">
              <w:rPr>
                <w:rFonts w:ascii="Arial" w:hAnsi="Arial" w:cs="Arial"/>
                <w:sz w:val="20"/>
                <w:szCs w:val="20"/>
                <w:lang w:val="en-GB"/>
              </w:rPr>
              <w:t xml:space="preserve">Furthermore, awareness at the political level is critical </w:t>
            </w:r>
            <w:r w:rsidR="007123E6">
              <w:rPr>
                <w:rFonts w:ascii="Arial" w:hAnsi="Arial" w:cs="Arial"/>
                <w:sz w:val="20"/>
                <w:szCs w:val="20"/>
                <w:lang w:val="en-GB"/>
              </w:rPr>
              <w:t xml:space="preserve">to ensure the integration of Quality Infrastructure aspects in national and regional policies and to support political willingness 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for a sustainable funding for NMI/LMAs, including funding of </w:t>
            </w:r>
            <w:r w:rsidR="007123E6">
              <w:rPr>
                <w:rFonts w:ascii="Arial" w:hAnsi="Arial" w:cs="Arial"/>
                <w:sz w:val="20"/>
                <w:szCs w:val="20"/>
                <w:lang w:val="en-GB"/>
              </w:rPr>
              <w:t>mem</w:t>
            </w:r>
            <w:r w:rsidR="00FF0B1A">
              <w:rPr>
                <w:rFonts w:ascii="Arial" w:hAnsi="Arial" w:cs="Arial"/>
                <w:sz w:val="20"/>
                <w:szCs w:val="20"/>
                <w:lang w:val="en-GB"/>
              </w:rPr>
              <w:t xml:space="preserve">berships 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="00FF0B1A">
              <w:rPr>
                <w:rFonts w:ascii="Arial" w:hAnsi="Arial" w:cs="Arial"/>
                <w:sz w:val="20"/>
                <w:szCs w:val="20"/>
                <w:lang w:val="en-GB"/>
              </w:rPr>
              <w:t xml:space="preserve">APMP and APLMF. </w:t>
            </w:r>
          </w:p>
          <w:p w14:paraId="1F751F24" w14:textId="77777777" w:rsidR="00E36C88" w:rsidRPr="008C53CA" w:rsidRDefault="00E36C88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386E6F" w14:textId="1CFD65AD" w:rsidR="00E36C88" w:rsidRPr="008C53CA" w:rsidRDefault="00E36C88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i/>
                <w:sz w:val="20"/>
                <w:szCs w:val="20"/>
                <w:lang w:val="en-GB"/>
              </w:rPr>
              <w:t>Product: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3C51">
              <w:rPr>
                <w:rFonts w:ascii="Arial" w:hAnsi="Arial" w:cs="Arial"/>
                <w:sz w:val="20"/>
                <w:szCs w:val="20"/>
                <w:lang w:val="en-GB"/>
              </w:rPr>
              <w:t xml:space="preserve">Awareness/ </w:t>
            </w:r>
            <w:r w:rsidR="00F6030D" w:rsidRPr="008C53CA">
              <w:rPr>
                <w:rFonts w:ascii="Arial" w:hAnsi="Arial" w:cs="Arial"/>
                <w:sz w:val="20"/>
                <w:szCs w:val="20"/>
                <w:lang w:val="en-GB"/>
              </w:rPr>
              <w:t>Visibility Strategy</w:t>
            </w:r>
          </w:p>
          <w:p w14:paraId="1BCBBD60" w14:textId="5AE2CA6D" w:rsidR="008C53CA" w:rsidRPr="008C53CA" w:rsidRDefault="00E36C88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i/>
                <w:sz w:val="20"/>
                <w:szCs w:val="20"/>
                <w:lang w:val="en-GB"/>
              </w:rPr>
              <w:t>Participant profile: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C53CA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NMI/LMA Directors or responsible persons for Public Relations within the NMI/LMA </w:t>
            </w:r>
          </w:p>
          <w:p w14:paraId="6EF187AA" w14:textId="67623EA3" w:rsidR="00E36C88" w:rsidRPr="008C53CA" w:rsidRDefault="00E36C88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EE81F7" w14:textId="77777777" w:rsidR="00653B52" w:rsidRPr="008C53CA" w:rsidRDefault="00653B52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14:paraId="41D0E444" w14:textId="77777777" w:rsidR="00653B52" w:rsidRPr="008C53CA" w:rsidRDefault="00653B52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9F7B497" w14:textId="15BC25AD" w:rsidR="00FA4C7F" w:rsidRPr="00E46728" w:rsidRDefault="00FA4C7F" w:rsidP="007123E6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467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Needs Analysis for Calibration Services </w:t>
            </w:r>
            <w:r w:rsidR="00D57091" w:rsidRPr="00E46728">
              <w:rPr>
                <w:rFonts w:ascii="Arial" w:hAnsi="Arial" w:cs="Arial"/>
                <w:b/>
                <w:sz w:val="20"/>
                <w:szCs w:val="20"/>
                <w:lang w:val="en-GB"/>
              </w:rPr>
              <w:t>and Verification Services</w:t>
            </w:r>
          </w:p>
          <w:p w14:paraId="60787EFA" w14:textId="77777777" w:rsidR="00831432" w:rsidRPr="00D57091" w:rsidRDefault="00831432" w:rsidP="007123E6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14:paraId="2E9E4393" w14:textId="4828A961" w:rsidR="00E36C88" w:rsidRPr="00724ADD" w:rsidRDefault="00A83D4D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This Working Group </w:t>
            </w:r>
            <w:r w:rsidR="001B7C48">
              <w:rPr>
                <w:rFonts w:ascii="Arial" w:hAnsi="Arial" w:cs="Arial"/>
                <w:sz w:val="20"/>
                <w:szCs w:val="20"/>
                <w:lang w:val="en-GB"/>
              </w:rPr>
              <w:t>is targeted</w:t>
            </w:r>
            <w:r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 at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Scientific, </w:t>
            </w:r>
            <w:r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Industrial </w:t>
            </w:r>
            <w:r w:rsidR="00F9025C"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and Legal </w:t>
            </w:r>
            <w:r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Metrology. </w:t>
            </w:r>
            <w:r w:rsidR="00E862E8" w:rsidRPr="00724ADD">
              <w:rPr>
                <w:rFonts w:ascii="Arial" w:hAnsi="Arial" w:cs="Arial"/>
                <w:sz w:val="20"/>
                <w:szCs w:val="20"/>
                <w:lang w:val="en-GB"/>
              </w:rPr>
              <w:t>It´s objective is to system</w:t>
            </w:r>
            <w:r w:rsidR="00636081">
              <w:rPr>
                <w:rFonts w:ascii="Arial" w:hAnsi="Arial" w:cs="Arial"/>
                <w:sz w:val="20"/>
                <w:szCs w:val="20"/>
                <w:lang w:val="en-GB"/>
              </w:rPr>
              <w:t>ise</w:t>
            </w:r>
            <w:r w:rsidR="00E862E8"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92AD9" w:rsidRPr="00724ADD">
              <w:rPr>
                <w:rFonts w:ascii="Arial" w:hAnsi="Arial" w:cs="Arial"/>
                <w:sz w:val="20"/>
                <w:szCs w:val="20"/>
                <w:lang w:val="en-GB"/>
              </w:rPr>
              <w:t>needs assessment and needs analysis approaches and method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>ologies</w:t>
            </w:r>
            <w:r w:rsidR="00692AD9"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103F66" w:rsidRPr="00724ADD">
              <w:rPr>
                <w:rFonts w:ascii="Arial" w:hAnsi="Arial" w:cs="Arial"/>
                <w:sz w:val="20"/>
                <w:szCs w:val="20"/>
                <w:lang w:val="en-GB"/>
              </w:rPr>
              <w:t>mproved approaches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692AD9"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needs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assessment and analysis will help ensure that these are soundly based, aligned with identified current and future stakeholder needs </w:t>
            </w:r>
            <w:r w:rsidR="00692AD9" w:rsidRPr="00724ADD">
              <w:rPr>
                <w:rFonts w:ascii="Arial" w:hAnsi="Arial" w:cs="Arial"/>
                <w:sz w:val="20"/>
                <w:szCs w:val="20"/>
                <w:lang w:val="en-GB"/>
              </w:rPr>
              <w:t>within an economy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, enabling improvements to </w:t>
            </w:r>
            <w:r w:rsidR="00F9025C" w:rsidRPr="00724ADD">
              <w:rPr>
                <w:rFonts w:ascii="Arial" w:hAnsi="Arial" w:cs="Arial"/>
                <w:sz w:val="20"/>
                <w:szCs w:val="20"/>
                <w:lang w:val="en-GB"/>
              </w:rPr>
              <w:t>existing services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 and development of relevant </w:t>
            </w:r>
            <w:r w:rsidR="003E6626" w:rsidRPr="00724ADD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ew services. </w:t>
            </w:r>
            <w:r w:rsidR="003E6626" w:rsidRPr="00724A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C20B5ED" w14:textId="77777777" w:rsidR="00F67FCE" w:rsidRPr="008C53CA" w:rsidRDefault="00F67FCE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9339F8" w14:textId="0CC94A19" w:rsidR="003653B1" w:rsidRPr="008C53CA" w:rsidRDefault="003653B1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i/>
                <w:sz w:val="20"/>
                <w:szCs w:val="20"/>
                <w:lang w:val="en-GB"/>
              </w:rPr>
              <w:t>Product: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83D4D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of </w:t>
            </w:r>
            <w:r w:rsidR="008B2AF6">
              <w:rPr>
                <w:rFonts w:ascii="Arial" w:hAnsi="Arial" w:cs="Arial"/>
                <w:sz w:val="20"/>
                <w:szCs w:val="20"/>
                <w:lang w:val="en-GB"/>
              </w:rPr>
              <w:t xml:space="preserve">improved and /or </w:t>
            </w:r>
            <w:r w:rsidR="00A83D4D">
              <w:rPr>
                <w:rFonts w:ascii="Arial" w:hAnsi="Arial" w:cs="Arial"/>
                <w:sz w:val="20"/>
                <w:szCs w:val="20"/>
                <w:lang w:val="en-GB"/>
              </w:rPr>
              <w:t>new service</w:t>
            </w:r>
            <w:r w:rsidR="008B2AF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83D4D">
              <w:rPr>
                <w:rFonts w:ascii="Arial" w:hAnsi="Arial" w:cs="Arial"/>
                <w:sz w:val="20"/>
                <w:szCs w:val="20"/>
                <w:lang w:val="en-GB"/>
              </w:rPr>
              <w:t xml:space="preserve"> based on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effective </w:t>
            </w:r>
            <w:r w:rsidR="00A83D4D">
              <w:rPr>
                <w:rFonts w:ascii="Arial" w:hAnsi="Arial" w:cs="Arial"/>
                <w:sz w:val="20"/>
                <w:szCs w:val="20"/>
                <w:lang w:val="en-GB"/>
              </w:rPr>
              <w:t>needs analysis</w:t>
            </w:r>
          </w:p>
          <w:p w14:paraId="3996F7C5" w14:textId="5F3021C0" w:rsidR="008C53CA" w:rsidRPr="008C53CA" w:rsidRDefault="003653B1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i/>
                <w:sz w:val="20"/>
                <w:szCs w:val="20"/>
                <w:lang w:val="en-GB"/>
              </w:rPr>
              <w:t>Participant profile:</w:t>
            </w:r>
            <w:r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C53CA" w:rsidRPr="008C53CA">
              <w:rPr>
                <w:rFonts w:ascii="Arial" w:hAnsi="Arial" w:cs="Arial"/>
                <w:sz w:val="20"/>
                <w:szCs w:val="20"/>
                <w:lang w:val="en-GB"/>
              </w:rPr>
              <w:t>NMI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>-LMA</w:t>
            </w:r>
            <w:r w:rsidR="008C53CA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Director and/or executive closely involved in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 the implementation / improvement of </w:t>
            </w:r>
            <w:r w:rsidR="008C53CA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calibration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>and/</w:t>
            </w:r>
            <w:r w:rsidR="00F9025C">
              <w:rPr>
                <w:rFonts w:ascii="Arial" w:hAnsi="Arial" w:cs="Arial"/>
                <w:sz w:val="20"/>
                <w:szCs w:val="20"/>
                <w:lang w:val="en-GB"/>
              </w:rPr>
              <w:t xml:space="preserve">or verification </w:t>
            </w:r>
            <w:r w:rsidR="008C53CA" w:rsidRPr="008C53CA"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</w:p>
          <w:p w14:paraId="13239139" w14:textId="20784DF7" w:rsidR="003653B1" w:rsidRPr="008C53CA" w:rsidRDefault="003653B1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489140" w14:textId="77777777" w:rsidR="004D5C9B" w:rsidRPr="008C53CA" w:rsidRDefault="004D5C9B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1B77275" w14:textId="6365F4CB" w:rsidR="00FA4C7F" w:rsidRPr="00ED6D92" w:rsidRDefault="00FA4C7F" w:rsidP="007123E6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D6D92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 Surveillance</w:t>
            </w:r>
          </w:p>
          <w:p w14:paraId="47CA5598" w14:textId="77777777" w:rsidR="003653B1" w:rsidRPr="008C53CA" w:rsidRDefault="003653B1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86FFBA" w14:textId="266C0B66" w:rsidR="004D60EF" w:rsidRPr="008C53CA" w:rsidRDefault="00FF0B1A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This Working Group </w:t>
            </w:r>
            <w:r w:rsidR="001B7C48">
              <w:rPr>
                <w:rFonts w:ascii="Arial" w:hAnsi="Arial" w:cs="Arial"/>
                <w:sz w:val="20"/>
                <w:szCs w:val="20"/>
                <w:lang w:val="en-GB"/>
              </w:rPr>
              <w:t xml:space="preserve">is targeted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Scientific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Legal Metrology.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It is essential that governments implement an adequate market surveillance system to improve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confidence in exported or imported products and ensur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consumer protection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03F66">
              <w:rPr>
                <w:rFonts w:ascii="Arial" w:hAnsi="Arial" w:cs="Arial"/>
                <w:sz w:val="20"/>
                <w:szCs w:val="20"/>
                <w:lang w:val="en-GB"/>
              </w:rPr>
              <w:t>The objective of the Working G</w:t>
            </w:r>
            <w:r w:rsidR="003653B1" w:rsidRPr="008C53CA">
              <w:rPr>
                <w:rFonts w:ascii="Arial" w:hAnsi="Arial" w:cs="Arial"/>
                <w:sz w:val="20"/>
                <w:szCs w:val="20"/>
                <w:lang w:val="en-GB"/>
              </w:rPr>
              <w:t>roup is to develop</w:t>
            </w:r>
            <w:r w:rsidR="00F6030D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57091">
              <w:rPr>
                <w:rFonts w:ascii="Arial" w:hAnsi="Arial" w:cs="Arial"/>
                <w:sz w:val="20"/>
                <w:szCs w:val="20"/>
                <w:lang w:val="en-GB"/>
              </w:rPr>
              <w:t xml:space="preserve">a framework for applying international best practice. </w:t>
            </w:r>
          </w:p>
          <w:p w14:paraId="6034D882" w14:textId="77777777" w:rsidR="004D60EF" w:rsidRPr="008C53CA" w:rsidRDefault="004D60EF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9421CE" w14:textId="09DDC0B7" w:rsidR="000C5C28" w:rsidRPr="008C53CA" w:rsidRDefault="000C5C28" w:rsidP="007123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Product: </w:t>
            </w:r>
            <w:r w:rsidR="00F9025C" w:rsidRPr="00A335CF">
              <w:rPr>
                <w:rFonts w:ascii="Arial" w:hAnsi="Arial" w:cs="Arial"/>
                <w:sz w:val="20"/>
                <w:szCs w:val="20"/>
                <w:lang w:val="en-GB"/>
              </w:rPr>
              <w:t xml:space="preserve">Strategy to implement or strengthen market surveillance for a specific </w:t>
            </w:r>
            <w:r w:rsidR="00967C46" w:rsidRPr="00A335CF">
              <w:rPr>
                <w:rFonts w:ascii="Arial" w:hAnsi="Arial" w:cs="Arial"/>
                <w:sz w:val="20"/>
                <w:szCs w:val="20"/>
                <w:lang w:val="en-GB"/>
              </w:rPr>
              <w:t>international recommendation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 xml:space="preserve"> and/or testing regime</w:t>
            </w:r>
          </w:p>
          <w:p w14:paraId="3CE1A80A" w14:textId="3A72F462" w:rsidR="00DD3354" w:rsidRDefault="00DD3354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3CA">
              <w:rPr>
                <w:rFonts w:ascii="Arial" w:hAnsi="Arial" w:cs="Arial"/>
                <w:i/>
                <w:sz w:val="20"/>
                <w:szCs w:val="20"/>
                <w:lang w:val="en-GB"/>
              </w:rPr>
              <w:t>Participant profile:</w:t>
            </w:r>
            <w:r w:rsidR="000C5C28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Responsible </w:t>
            </w:r>
            <w:r w:rsidR="00967C46">
              <w:rPr>
                <w:rFonts w:ascii="Arial" w:hAnsi="Arial" w:cs="Arial"/>
                <w:sz w:val="20"/>
                <w:szCs w:val="20"/>
                <w:lang w:val="en-GB"/>
              </w:rPr>
              <w:t xml:space="preserve">person </w:t>
            </w:r>
            <w:r w:rsidR="000C5C28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="00F6030D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Market Surveillance in the </w:t>
            </w:r>
            <w:r w:rsidR="006926E1">
              <w:rPr>
                <w:rFonts w:ascii="Arial" w:hAnsi="Arial" w:cs="Arial"/>
                <w:sz w:val="20"/>
                <w:szCs w:val="20"/>
                <w:lang w:val="en-GB"/>
              </w:rPr>
              <w:t>NMI/</w:t>
            </w:r>
            <w:r w:rsidR="00967C46">
              <w:rPr>
                <w:rFonts w:ascii="Arial" w:hAnsi="Arial" w:cs="Arial"/>
                <w:sz w:val="20"/>
                <w:szCs w:val="20"/>
                <w:lang w:val="en-GB"/>
              </w:rPr>
              <w:t xml:space="preserve">LMA </w:t>
            </w:r>
            <w:r w:rsidR="000C5C28" w:rsidRPr="008C53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42DFBE7" w14:textId="332594C6" w:rsidR="00CC4D0E" w:rsidRDefault="00CC4D0E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AB1510" w14:textId="77777777" w:rsidR="00CC4D0E" w:rsidRPr="008C53CA" w:rsidRDefault="00CC4D0E" w:rsidP="00712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F8570F" w14:textId="77777777" w:rsidR="00536712" w:rsidRPr="008C53CA" w:rsidRDefault="00536712" w:rsidP="007123E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D30A29B" w14:textId="415EE780" w:rsidR="00C7063C" w:rsidRPr="008C53CA" w:rsidRDefault="00C7063C" w:rsidP="007123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C4D0E" w:rsidRPr="002C3150" w14:paraId="4981B936" w14:textId="77777777" w:rsidTr="006E6F30">
        <w:tc>
          <w:tcPr>
            <w:tcW w:w="469" w:type="dxa"/>
          </w:tcPr>
          <w:p w14:paraId="2AD8D37C" w14:textId="61223DD7" w:rsidR="00CC4D0E" w:rsidRPr="008C53CA" w:rsidRDefault="00CC4D0E" w:rsidP="00CC4D0E">
            <w:pPr>
              <w:spacing w:line="276" w:lineRule="auto"/>
              <w:jc w:val="both"/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</w:pPr>
            <w:r w:rsidRPr="00CC4D0E">
              <w:rPr>
                <w:lang w:val="en-US"/>
              </w:rPr>
              <w:lastRenderedPageBreak/>
              <w:br w:type="page"/>
            </w:r>
            <w:r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>Participants Profile</w:t>
            </w:r>
            <w:r w:rsidRPr="008C53CA">
              <w:rPr>
                <w:rFonts w:ascii="Arial" w:hAnsi="Arial"/>
                <w:b/>
                <w:bCs/>
                <w:smallCaps/>
                <w:sz w:val="20"/>
                <w:szCs w:val="20"/>
                <w:lang w:val="en-GB"/>
              </w:rPr>
              <w:t xml:space="preserve"> </w:t>
            </w:r>
          </w:p>
          <w:p w14:paraId="53F42413" w14:textId="77777777" w:rsidR="00CC4D0E" w:rsidRPr="008D1990" w:rsidRDefault="00CC4D0E" w:rsidP="00CC4D0E">
            <w:pPr>
              <w:jc w:val="both"/>
              <w:rPr>
                <w:lang w:val="en-US"/>
              </w:rPr>
            </w:pPr>
          </w:p>
        </w:tc>
        <w:tc>
          <w:tcPr>
            <w:tcW w:w="8177" w:type="dxa"/>
          </w:tcPr>
          <w:p w14:paraId="62235295" w14:textId="33EC978E" w:rsidR="00CC4D0E" w:rsidRPr="00CC4D0E" w:rsidRDefault="001B7C48" w:rsidP="00CC4D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/>
              </w:rPr>
              <w:t xml:space="preserve"> / institutional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/>
              </w:rPr>
              <w:t xml:space="preserve"> will </w:t>
            </w:r>
          </w:p>
          <w:p w14:paraId="0023F713" w14:textId="015E6D52" w:rsidR="00CC4D0E" w:rsidRPr="00CC4D0E" w:rsidRDefault="00CC4D0E" w:rsidP="00CC4D0E">
            <w:pPr>
              <w:pStyle w:val="p1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l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ead the identification, design and implementation </w:t>
            </w: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of the 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2-year national project</w:t>
            </w:r>
          </w:p>
          <w:p w14:paraId="7ECA3850" w14:textId="39ABD339" w:rsidR="00CC4D0E" w:rsidRPr="00CC4D0E" w:rsidRDefault="00CC4D0E" w:rsidP="00CC4D0E">
            <w:pPr>
              <w:pStyle w:val="p1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lead the specific institutional national project and </w:t>
            </w:r>
            <w:r w:rsidR="000B360C">
              <w:rPr>
                <w:rFonts w:ascii="Arial" w:hAnsi="Arial" w:cs="Arial"/>
                <w:sz w:val="20"/>
                <w:szCs w:val="20"/>
                <w:lang w:val="en-GB" w:eastAsia="de-DE"/>
              </w:rPr>
              <w:t>participate in its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various proposed stages</w:t>
            </w:r>
          </w:p>
          <w:p w14:paraId="2EDF5FE8" w14:textId="392405B4" w:rsidR="00CC4D0E" w:rsidRPr="00CC4D0E" w:rsidRDefault="00CC4D0E" w:rsidP="00CC4D0E">
            <w:pPr>
              <w:pStyle w:val="p1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submit work plans and regular rep</w:t>
            </w:r>
            <w:r w:rsidR="001B7C48">
              <w:rPr>
                <w:rFonts w:ascii="Arial" w:hAnsi="Arial" w:cs="Arial"/>
                <w:sz w:val="20"/>
                <w:szCs w:val="20"/>
                <w:lang w:val="en-GB" w:eastAsia="de-DE"/>
              </w:rPr>
              <w:t>orts, and actively participate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in the exchange forums to which they are invited</w:t>
            </w:r>
          </w:p>
          <w:p w14:paraId="4A6F1F79" w14:textId="77777777" w:rsidR="00CC4D0E" w:rsidRPr="00CC4D0E" w:rsidRDefault="00CC4D0E" w:rsidP="00CC4D0E">
            <w:pPr>
              <w:pStyle w:val="p1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  <w:p w14:paraId="241736C8" w14:textId="7176E84A" w:rsidR="00CC4D0E" w:rsidRPr="00CC4D0E" w:rsidRDefault="000B360C" w:rsidP="00CC4D0E">
            <w:pPr>
              <w:pStyle w:val="p1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The following list shows 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the characteristics of a suitable participant who will join the </w:t>
            </w:r>
            <w:r w:rsidR="00F12675">
              <w:rPr>
                <w:rFonts w:ascii="Arial" w:hAnsi="Arial" w:cs="Arial"/>
                <w:sz w:val="20"/>
                <w:szCs w:val="20"/>
                <w:lang w:val="en-GB" w:eastAsia="de-DE"/>
              </w:rPr>
              <w:t>p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rogramme and the Working Group: </w:t>
            </w:r>
          </w:p>
          <w:p w14:paraId="299D579F" w14:textId="77777777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commitment to his/her institutional role </w:t>
            </w:r>
          </w:p>
          <w:p w14:paraId="143734BF" w14:textId="77777777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personal interest in the Working Group topic and the project </w:t>
            </w:r>
          </w:p>
          <w:p w14:paraId="24EF4FE4" w14:textId="77777777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availability of institutional resources for the implementation of the project </w:t>
            </w:r>
          </w:p>
          <w:p w14:paraId="0BD8A2C4" w14:textId="77777777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competencies for project management at the national level within a regional framework</w:t>
            </w:r>
          </w:p>
          <w:p w14:paraId="10E8F0E1" w14:textId="685BB924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lastRenderedPageBreak/>
              <w:t xml:space="preserve">interest and personal </w:t>
            </w:r>
            <w:r w:rsidR="000B360C">
              <w:rPr>
                <w:rFonts w:ascii="Arial" w:hAnsi="Arial" w:cs="Arial"/>
                <w:sz w:val="20"/>
                <w:szCs w:val="20"/>
                <w:lang w:val="en-GB" w:eastAsia="de-DE"/>
              </w:rPr>
              <w:t>skills to promote integration and interaction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with interdisciplinary, inter-institutional and multi-cultural working groups</w:t>
            </w:r>
          </w:p>
          <w:p w14:paraId="536D99A4" w14:textId="77777777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willingness to acquire and/or transfer competencies related to project management and technical duties </w:t>
            </w:r>
          </w:p>
          <w:p w14:paraId="2EAC015F" w14:textId="583FF377" w:rsidR="00CC4D0E" w:rsidRPr="00CC4D0E" w:rsidRDefault="00CC4D0E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availability and willingness to participate </w:t>
            </w: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in the p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rogramme’s exchange forums (including trips outside of his/her economy</w:t>
            </w:r>
            <w:r w:rsidR="00F12675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/</w:t>
            </w:r>
            <w:r w:rsidR="00F12675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place of residency)</w:t>
            </w:r>
          </w:p>
          <w:p w14:paraId="17BD565B" w14:textId="58E4FEC5" w:rsidR="00CC4D0E" w:rsidRPr="00CC4D0E" w:rsidRDefault="000B360C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o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pen-minded attitude towards strategic thinking</w:t>
            </w:r>
          </w:p>
          <w:p w14:paraId="55A6A76A" w14:textId="00910625" w:rsidR="00CC4D0E" w:rsidRPr="00CC4D0E" w:rsidRDefault="000B360C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o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>pen-minded attitude towards regional sharing of experiences and knowledge</w:t>
            </w:r>
          </w:p>
          <w:p w14:paraId="75717CD9" w14:textId="59759BD9" w:rsidR="00CC4D0E" w:rsidRPr="00CC4D0E" w:rsidRDefault="000B360C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o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pen-minded attitude towards learning processes </w:t>
            </w:r>
          </w:p>
          <w:p w14:paraId="1DCF8DE4" w14:textId="2B8E36A9" w:rsidR="00CC4D0E" w:rsidRPr="00CC4D0E" w:rsidRDefault="000B360C" w:rsidP="00CC4D0E">
            <w:pPr>
              <w:pStyle w:val="p1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ability</w:t>
            </w:r>
            <w:r w:rsidR="00CC4D0E" w:rsidRPr="00CC4D0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to create new ideas and to find solutions that match the national and specific needs of an economy.</w:t>
            </w:r>
          </w:p>
          <w:p w14:paraId="3E831D73" w14:textId="77777777" w:rsidR="00CC4D0E" w:rsidRPr="00CC4D0E" w:rsidRDefault="00CC4D0E" w:rsidP="00CC4D0E">
            <w:pPr>
              <w:pStyle w:val="p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  <w:p w14:paraId="5818C671" w14:textId="77777777" w:rsidR="00CC4D0E" w:rsidRPr="00CC4D0E" w:rsidRDefault="00CC4D0E" w:rsidP="00CC4D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791EC8" w14:textId="77777777" w:rsidR="00F96A06" w:rsidRPr="00FA4C7F" w:rsidRDefault="00F96A06" w:rsidP="007123E6">
      <w:pPr>
        <w:jc w:val="both"/>
        <w:rPr>
          <w:rFonts w:ascii="Arial" w:hAnsi="Arial" w:cs="Arial"/>
          <w:b/>
          <w:color w:val="FF0000"/>
          <w:lang w:val="en-US"/>
        </w:rPr>
      </w:pPr>
    </w:p>
    <w:sectPr w:rsidR="00F96A06" w:rsidRPr="00FA4C7F" w:rsidSect="009917D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88B7" w14:textId="77777777" w:rsidR="00A552FD" w:rsidRDefault="00A552FD" w:rsidP="005B0A7E">
      <w:pPr>
        <w:spacing w:after="0" w:line="240" w:lineRule="auto"/>
      </w:pPr>
      <w:r>
        <w:separator/>
      </w:r>
    </w:p>
  </w:endnote>
  <w:endnote w:type="continuationSeparator" w:id="0">
    <w:p w14:paraId="18A05FF3" w14:textId="77777777" w:rsidR="00A552FD" w:rsidRDefault="00A552FD" w:rsidP="005B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5165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</w:rPr>
    </w:sdtEndPr>
    <w:sdtContent>
      <w:p w14:paraId="15E9BC92" w14:textId="3F121F66" w:rsidR="00C4737C" w:rsidRPr="00493780" w:rsidRDefault="00C4737C">
        <w:pPr>
          <w:pStyle w:val="Fuzeile"/>
          <w:jc w:val="right"/>
          <w:rPr>
            <w:rFonts w:ascii="Arial" w:hAnsi="Arial" w:cs="Arial"/>
            <w:sz w:val="21"/>
          </w:rPr>
        </w:pPr>
        <w:r w:rsidRPr="00493780">
          <w:rPr>
            <w:rFonts w:ascii="Arial" w:hAnsi="Arial" w:cs="Arial"/>
            <w:sz w:val="21"/>
          </w:rPr>
          <w:fldChar w:fldCharType="begin"/>
        </w:r>
        <w:r w:rsidRPr="00493780">
          <w:rPr>
            <w:rFonts w:ascii="Arial" w:hAnsi="Arial" w:cs="Arial"/>
            <w:sz w:val="21"/>
          </w:rPr>
          <w:instrText xml:space="preserve"> PAGE   \* MERGEFORMAT </w:instrText>
        </w:r>
        <w:r w:rsidRPr="00493780">
          <w:rPr>
            <w:rFonts w:ascii="Arial" w:hAnsi="Arial" w:cs="Arial"/>
            <w:sz w:val="21"/>
          </w:rPr>
          <w:fldChar w:fldCharType="separate"/>
        </w:r>
        <w:r w:rsidR="009D2884">
          <w:rPr>
            <w:rFonts w:ascii="Arial" w:hAnsi="Arial" w:cs="Arial"/>
            <w:noProof/>
            <w:sz w:val="21"/>
          </w:rPr>
          <w:t>1</w:t>
        </w:r>
        <w:r w:rsidRPr="00493780">
          <w:rPr>
            <w:rFonts w:ascii="Arial" w:hAnsi="Arial" w:cs="Arial"/>
            <w:sz w:val="21"/>
          </w:rPr>
          <w:fldChar w:fldCharType="end"/>
        </w:r>
      </w:p>
    </w:sdtContent>
  </w:sdt>
  <w:p w14:paraId="42F3F2B9" w14:textId="77777777" w:rsidR="00C4737C" w:rsidRDefault="00C473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CC2E" w14:textId="77777777" w:rsidR="00A552FD" w:rsidRDefault="00A552FD" w:rsidP="005B0A7E">
      <w:pPr>
        <w:spacing w:after="0" w:line="240" w:lineRule="auto"/>
      </w:pPr>
      <w:r>
        <w:separator/>
      </w:r>
    </w:p>
  </w:footnote>
  <w:footnote w:type="continuationSeparator" w:id="0">
    <w:p w14:paraId="30A3FF7B" w14:textId="77777777" w:rsidR="00A552FD" w:rsidRDefault="00A552FD" w:rsidP="005B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3F54" w14:textId="194E78F0" w:rsidR="00C4737C" w:rsidRDefault="00C4737C">
    <w:pPr>
      <w:pStyle w:val="Kopfzeile"/>
    </w:pPr>
    <w:r w:rsidRPr="00FC4ACE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630532E" wp14:editId="708EAD08">
          <wp:simplePos x="0" y="0"/>
          <wp:positionH relativeFrom="column">
            <wp:posOffset>2346325</wp:posOffset>
          </wp:positionH>
          <wp:positionV relativeFrom="paragraph">
            <wp:posOffset>-635</wp:posOffset>
          </wp:positionV>
          <wp:extent cx="795020" cy="784225"/>
          <wp:effectExtent l="0" t="0" r="0" b="0"/>
          <wp:wrapNone/>
          <wp:docPr id="6" name="Bild 1">
            <a:extLst xmlns:a="http://schemas.openxmlformats.org/drawingml/2006/main">
              <a:ext uri="{FF2B5EF4-FFF2-40B4-BE49-F238E27FC236}">
                <a16:creationId xmlns:a16="http://schemas.microsoft.com/office/drawing/2014/main" id="{5904DE82-1B5D-4499-B074-BA592AB8D8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>
                    <a:extLst>
                      <a:ext uri="{FF2B5EF4-FFF2-40B4-BE49-F238E27FC236}">
                        <a16:creationId xmlns:a16="http://schemas.microsoft.com/office/drawing/2014/main" id="{5904DE82-1B5D-4499-B074-BA592AB8D85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84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C4ACE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63E2B91A" wp14:editId="1FC1FB3F">
          <wp:simplePos x="0" y="0"/>
          <wp:positionH relativeFrom="column">
            <wp:posOffset>-66675</wp:posOffset>
          </wp:positionH>
          <wp:positionV relativeFrom="paragraph">
            <wp:posOffset>87630</wp:posOffset>
          </wp:positionV>
          <wp:extent cx="1135380" cy="652145"/>
          <wp:effectExtent l="0" t="0" r="7620" b="0"/>
          <wp:wrapNone/>
          <wp:docPr id="7" name="Bild 2">
            <a:extLst xmlns:a="http://schemas.openxmlformats.org/drawingml/2006/main">
              <a:ext uri="{FF2B5EF4-FFF2-40B4-BE49-F238E27FC236}">
                <a16:creationId xmlns:a16="http://schemas.microsoft.com/office/drawing/2014/main" id="{35322870-C40B-4B2C-8D59-0AA78772492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2">
                    <a:extLst>
                      <a:ext uri="{FF2B5EF4-FFF2-40B4-BE49-F238E27FC236}">
                        <a16:creationId xmlns:a16="http://schemas.microsoft.com/office/drawing/2014/main" id="{35322870-C40B-4B2C-8D59-0AA78772492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C4ACE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FD58EC9" wp14:editId="4C5C5630">
          <wp:simplePos x="0" y="0"/>
          <wp:positionH relativeFrom="column">
            <wp:posOffset>4321175</wp:posOffset>
          </wp:positionH>
          <wp:positionV relativeFrom="paragraph">
            <wp:posOffset>87630</wp:posOffset>
          </wp:positionV>
          <wp:extent cx="1926590" cy="643890"/>
          <wp:effectExtent l="0" t="0" r="0" b="3810"/>
          <wp:wrapNone/>
          <wp:docPr id="5" name="Bild 3">
            <a:extLst xmlns:a="http://schemas.openxmlformats.org/drawingml/2006/main">
              <a:ext uri="{FF2B5EF4-FFF2-40B4-BE49-F238E27FC236}">
                <a16:creationId xmlns:a16="http://schemas.microsoft.com/office/drawing/2014/main" id="{54891C72-BE96-4129-A2D4-9164A9DE7A4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3">
                    <a:extLst>
                      <a:ext uri="{FF2B5EF4-FFF2-40B4-BE49-F238E27FC236}">
                        <a16:creationId xmlns:a16="http://schemas.microsoft.com/office/drawing/2014/main" id="{54891C72-BE96-4129-A2D4-9164A9DE7A4C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6486317" w14:textId="77777777" w:rsidR="00C4737C" w:rsidRDefault="00C4737C">
    <w:pPr>
      <w:pStyle w:val="Kopfzeile"/>
    </w:pPr>
  </w:p>
  <w:p w14:paraId="620E4092" w14:textId="77777777" w:rsidR="00C4737C" w:rsidRDefault="00C4737C">
    <w:pPr>
      <w:pStyle w:val="Kopfzeile"/>
    </w:pPr>
  </w:p>
  <w:p w14:paraId="57D00B5C" w14:textId="77777777" w:rsidR="00C4737C" w:rsidRDefault="00C4737C" w:rsidP="005B0A7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val="en-US"/>
      </w:rPr>
    </w:pPr>
  </w:p>
  <w:p w14:paraId="206B1B4C" w14:textId="77777777" w:rsidR="00C4737C" w:rsidRDefault="00C4737C" w:rsidP="005B0A7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val="en-US"/>
      </w:rPr>
    </w:pPr>
  </w:p>
  <w:p w14:paraId="23A49096" w14:textId="77777777" w:rsidR="00C4737C" w:rsidRDefault="00C4737C" w:rsidP="005B0A7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val="en-US"/>
      </w:rPr>
    </w:pPr>
  </w:p>
  <w:p w14:paraId="6350BEF5" w14:textId="1AEDF8DC" w:rsidR="00C4737C" w:rsidRPr="004423C0" w:rsidRDefault="00C4737C" w:rsidP="005B0A7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val="en-US"/>
      </w:rPr>
    </w:pPr>
    <w:r w:rsidRPr="0036570A">
      <w:rPr>
        <w:rFonts w:ascii="Arial" w:eastAsia="Times New Roman" w:hAnsi="Arial" w:cs="Arial"/>
        <w:color w:val="4A442A"/>
        <w:sz w:val="20"/>
        <w:szCs w:val="20"/>
        <w:lang w:val="en-US"/>
      </w:rPr>
      <w:t>CAPACITY BUILDING IN TECHNICAL AND SCIENTIFIC ORGANIZATIONS USING REGIONAL EXPERIENCES</w:t>
    </w:r>
    <w:r>
      <w:rPr>
        <w:rFonts w:ascii="Arial" w:eastAsia="Times New Roman" w:hAnsi="Arial" w:cs="Arial"/>
        <w:color w:val="4A442A"/>
        <w:sz w:val="20"/>
        <w:szCs w:val="20"/>
        <w:lang w:val="en-US"/>
      </w:rPr>
      <w:t xml:space="preserve"> </w:t>
    </w:r>
    <w:r w:rsidRPr="0036570A">
      <w:rPr>
        <w:rFonts w:ascii="Arial" w:eastAsia="Times New Roman" w:hAnsi="Arial" w:cs="Arial"/>
        <w:color w:val="4A442A"/>
        <w:sz w:val="20"/>
        <w:szCs w:val="20"/>
        <w:lang w:val="en-US"/>
      </w:rPr>
      <w:t>AND KNOWLEDGE</w:t>
    </w:r>
    <w:r>
      <w:rPr>
        <w:rFonts w:ascii="Arial" w:eastAsia="Times New Roman" w:hAnsi="Arial" w:cs="Arial"/>
        <w:color w:val="4A442A"/>
        <w:sz w:val="20"/>
        <w:szCs w:val="20"/>
        <w:lang w:val="en-US"/>
      </w:rPr>
      <w:t xml:space="preserve"> (CABUREK) </w:t>
    </w:r>
  </w:p>
  <w:p w14:paraId="2BBAA47B" w14:textId="77777777" w:rsidR="00C4737C" w:rsidRPr="005B0A7E" w:rsidRDefault="00C4737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F49"/>
    <w:multiLevelType w:val="hybridMultilevel"/>
    <w:tmpl w:val="C704882E"/>
    <w:lvl w:ilvl="0" w:tplc="B780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E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6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C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2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2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A40E8"/>
    <w:multiLevelType w:val="hybridMultilevel"/>
    <w:tmpl w:val="756C330A"/>
    <w:lvl w:ilvl="0" w:tplc="7720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82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47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6C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8F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E4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B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6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2E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B8"/>
    <w:multiLevelType w:val="hybridMultilevel"/>
    <w:tmpl w:val="E24409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219"/>
    <w:multiLevelType w:val="hybridMultilevel"/>
    <w:tmpl w:val="3C5AC95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E2E92"/>
    <w:multiLevelType w:val="hybridMultilevel"/>
    <w:tmpl w:val="8B4C49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CE0"/>
    <w:multiLevelType w:val="hybridMultilevel"/>
    <w:tmpl w:val="34CE48FC"/>
    <w:lvl w:ilvl="0" w:tplc="471C8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84C41"/>
    <w:multiLevelType w:val="hybridMultilevel"/>
    <w:tmpl w:val="282A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C29"/>
    <w:multiLevelType w:val="hybridMultilevel"/>
    <w:tmpl w:val="F9167FA6"/>
    <w:lvl w:ilvl="0" w:tplc="A8D0B16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626"/>
    <w:multiLevelType w:val="hybridMultilevel"/>
    <w:tmpl w:val="A7FAA250"/>
    <w:lvl w:ilvl="0" w:tplc="9B2E9E80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9DA"/>
    <w:multiLevelType w:val="hybridMultilevel"/>
    <w:tmpl w:val="ABA083B4"/>
    <w:lvl w:ilvl="0" w:tplc="D0A4AD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1CD0"/>
    <w:multiLevelType w:val="hybridMultilevel"/>
    <w:tmpl w:val="1C6828B2"/>
    <w:lvl w:ilvl="0" w:tplc="A984C75A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color w:val="auto"/>
      </w:rPr>
    </w:lvl>
    <w:lvl w:ilvl="1" w:tplc="5150CC38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1AC8F49C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AF46A724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8B0AA092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7B5CF4B4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2196E65E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4694EE18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8DE06F96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 w15:restartNumberingAfterBreak="0">
    <w:nsid w:val="40E13B86"/>
    <w:multiLevelType w:val="hybridMultilevel"/>
    <w:tmpl w:val="AAF030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3820"/>
    <w:multiLevelType w:val="hybridMultilevel"/>
    <w:tmpl w:val="E702C2BE"/>
    <w:lvl w:ilvl="0" w:tplc="7CE4C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8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4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8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4D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2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8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C3188B"/>
    <w:multiLevelType w:val="hybridMultilevel"/>
    <w:tmpl w:val="7820C672"/>
    <w:lvl w:ilvl="0" w:tplc="5E4CF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E062E"/>
    <w:multiLevelType w:val="hybridMultilevel"/>
    <w:tmpl w:val="C7767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B576">
      <w:numFmt w:val="bullet"/>
      <w:lvlText w:val="•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09A7"/>
    <w:multiLevelType w:val="hybridMultilevel"/>
    <w:tmpl w:val="07746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5A0A"/>
    <w:multiLevelType w:val="hybridMultilevel"/>
    <w:tmpl w:val="DDAC9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7AB6"/>
    <w:multiLevelType w:val="hybridMultilevel"/>
    <w:tmpl w:val="05A28B20"/>
    <w:lvl w:ilvl="0" w:tplc="9B2E9E80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696A"/>
    <w:multiLevelType w:val="hybridMultilevel"/>
    <w:tmpl w:val="DC424DFE"/>
    <w:lvl w:ilvl="0" w:tplc="29608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3"/>
  </w:num>
  <w:num w:numId="16">
    <w:abstractNumId w:val="6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7E"/>
    <w:rsid w:val="00014907"/>
    <w:rsid w:val="0006533D"/>
    <w:rsid w:val="000904FE"/>
    <w:rsid w:val="000B360C"/>
    <w:rsid w:val="000C5C28"/>
    <w:rsid w:val="000F6623"/>
    <w:rsid w:val="0010065B"/>
    <w:rsid w:val="00103F66"/>
    <w:rsid w:val="001612A0"/>
    <w:rsid w:val="00171D75"/>
    <w:rsid w:val="001853B6"/>
    <w:rsid w:val="00197443"/>
    <w:rsid w:val="001B7C48"/>
    <w:rsid w:val="001E62DA"/>
    <w:rsid w:val="00212196"/>
    <w:rsid w:val="002437FF"/>
    <w:rsid w:val="00243C38"/>
    <w:rsid w:val="002646AE"/>
    <w:rsid w:val="002652E7"/>
    <w:rsid w:val="00283D14"/>
    <w:rsid w:val="002C3150"/>
    <w:rsid w:val="002D1BCC"/>
    <w:rsid w:val="002E3070"/>
    <w:rsid w:val="002E6252"/>
    <w:rsid w:val="002E7E07"/>
    <w:rsid w:val="003653B1"/>
    <w:rsid w:val="00373AF0"/>
    <w:rsid w:val="003A19F1"/>
    <w:rsid w:val="003C1ECA"/>
    <w:rsid w:val="003D6F09"/>
    <w:rsid w:val="003E3775"/>
    <w:rsid w:val="003E6626"/>
    <w:rsid w:val="003E6766"/>
    <w:rsid w:val="003F3C51"/>
    <w:rsid w:val="00422EC9"/>
    <w:rsid w:val="00423D04"/>
    <w:rsid w:val="00493780"/>
    <w:rsid w:val="004C6605"/>
    <w:rsid w:val="004D5C9B"/>
    <w:rsid w:val="004D60EF"/>
    <w:rsid w:val="004E736D"/>
    <w:rsid w:val="004F173C"/>
    <w:rsid w:val="004F3647"/>
    <w:rsid w:val="005063C5"/>
    <w:rsid w:val="00531029"/>
    <w:rsid w:val="00536712"/>
    <w:rsid w:val="00540A10"/>
    <w:rsid w:val="005533B6"/>
    <w:rsid w:val="005B0A7E"/>
    <w:rsid w:val="005E19E3"/>
    <w:rsid w:val="00636081"/>
    <w:rsid w:val="00653B52"/>
    <w:rsid w:val="006926E1"/>
    <w:rsid w:val="00692AD9"/>
    <w:rsid w:val="006A66A6"/>
    <w:rsid w:val="006E651E"/>
    <w:rsid w:val="006E6F30"/>
    <w:rsid w:val="007123E6"/>
    <w:rsid w:val="00724ADD"/>
    <w:rsid w:val="00732E14"/>
    <w:rsid w:val="00742243"/>
    <w:rsid w:val="007B2FF0"/>
    <w:rsid w:val="007E128E"/>
    <w:rsid w:val="008207FA"/>
    <w:rsid w:val="00831432"/>
    <w:rsid w:val="00887109"/>
    <w:rsid w:val="008B2AF6"/>
    <w:rsid w:val="008C49D6"/>
    <w:rsid w:val="008C53CA"/>
    <w:rsid w:val="008D0FD5"/>
    <w:rsid w:val="008D1990"/>
    <w:rsid w:val="00905305"/>
    <w:rsid w:val="0091010F"/>
    <w:rsid w:val="009417FA"/>
    <w:rsid w:val="0096245E"/>
    <w:rsid w:val="00967C46"/>
    <w:rsid w:val="009917D0"/>
    <w:rsid w:val="009931B8"/>
    <w:rsid w:val="009B4394"/>
    <w:rsid w:val="009D2884"/>
    <w:rsid w:val="009F7E45"/>
    <w:rsid w:val="00A06D00"/>
    <w:rsid w:val="00A1534A"/>
    <w:rsid w:val="00A25122"/>
    <w:rsid w:val="00A335CF"/>
    <w:rsid w:val="00A44A0E"/>
    <w:rsid w:val="00A4729C"/>
    <w:rsid w:val="00A552FD"/>
    <w:rsid w:val="00A7319D"/>
    <w:rsid w:val="00A83D4D"/>
    <w:rsid w:val="00AC730E"/>
    <w:rsid w:val="00B57CF8"/>
    <w:rsid w:val="00BA55CB"/>
    <w:rsid w:val="00BB37A2"/>
    <w:rsid w:val="00BF114B"/>
    <w:rsid w:val="00C02684"/>
    <w:rsid w:val="00C14EC1"/>
    <w:rsid w:val="00C32196"/>
    <w:rsid w:val="00C41669"/>
    <w:rsid w:val="00C4737C"/>
    <w:rsid w:val="00C47D5C"/>
    <w:rsid w:val="00C7063C"/>
    <w:rsid w:val="00C91F1E"/>
    <w:rsid w:val="00CC3A6C"/>
    <w:rsid w:val="00CC4D0E"/>
    <w:rsid w:val="00CC57C1"/>
    <w:rsid w:val="00CF1C6E"/>
    <w:rsid w:val="00D53977"/>
    <w:rsid w:val="00D57091"/>
    <w:rsid w:val="00D701DD"/>
    <w:rsid w:val="00D85B2B"/>
    <w:rsid w:val="00DA432B"/>
    <w:rsid w:val="00DB4C40"/>
    <w:rsid w:val="00DC144D"/>
    <w:rsid w:val="00DC46B7"/>
    <w:rsid w:val="00DD3354"/>
    <w:rsid w:val="00DE1EF0"/>
    <w:rsid w:val="00E00FE6"/>
    <w:rsid w:val="00E363D0"/>
    <w:rsid w:val="00E36C88"/>
    <w:rsid w:val="00E46728"/>
    <w:rsid w:val="00E862E8"/>
    <w:rsid w:val="00E97997"/>
    <w:rsid w:val="00ED3AD9"/>
    <w:rsid w:val="00ED6D92"/>
    <w:rsid w:val="00F03C6A"/>
    <w:rsid w:val="00F12675"/>
    <w:rsid w:val="00F417EC"/>
    <w:rsid w:val="00F6030D"/>
    <w:rsid w:val="00F67FCE"/>
    <w:rsid w:val="00F9025C"/>
    <w:rsid w:val="00F96A06"/>
    <w:rsid w:val="00FA4C7F"/>
    <w:rsid w:val="00FC4ACE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EC7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83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A7E"/>
  </w:style>
  <w:style w:type="paragraph" w:styleId="Fuzeile">
    <w:name w:val="footer"/>
    <w:basedOn w:val="Standard"/>
    <w:link w:val="FuzeileZchn"/>
    <w:uiPriority w:val="99"/>
    <w:unhideWhenUsed/>
    <w:rsid w:val="005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A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0FE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00FE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0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0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0F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0F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0F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0FE6"/>
    <w:rPr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C321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2F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2F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2FF0"/>
    <w:rPr>
      <w:vertAlign w:val="superscript"/>
    </w:rPr>
  </w:style>
  <w:style w:type="character" w:customStyle="1" w:styleId="hps">
    <w:name w:val="hps"/>
    <w:basedOn w:val="Absatz-Standardschriftart"/>
    <w:rsid w:val="00373AF0"/>
  </w:style>
  <w:style w:type="character" w:customStyle="1" w:styleId="NichtaufgelsteErwhnung1">
    <w:name w:val="Nicht aufgelöste Erwähnung1"/>
    <w:basedOn w:val="Absatz-Standardschriftart"/>
    <w:uiPriority w:val="99"/>
    <w:rsid w:val="002E6252"/>
    <w:rPr>
      <w:color w:val="808080"/>
      <w:shd w:val="clear" w:color="auto" w:fill="E6E6E6"/>
    </w:rPr>
  </w:style>
  <w:style w:type="paragraph" w:customStyle="1" w:styleId="p1">
    <w:name w:val="p1"/>
    <w:basedOn w:val="Standard"/>
    <w:rsid w:val="00CC4D0E"/>
    <w:pPr>
      <w:spacing w:after="0" w:line="240" w:lineRule="auto"/>
    </w:pPr>
    <w:rPr>
      <w:rFonts w:ascii="Helvetica" w:hAnsi="Helvetica" w:cs="Times New Roman"/>
      <w:sz w:val="15"/>
      <w:szCs w:val="1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5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3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Greiner@pt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is.Valqu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528D-51F0-4665-B4C4-47605EB3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6042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Physikalisch-Technische Bundesanstalt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kruip01</dc:creator>
  <cp:lastModifiedBy>Sabine Greiner</cp:lastModifiedBy>
  <cp:revision>13</cp:revision>
  <cp:lastPrinted>2016-01-25T21:28:00Z</cp:lastPrinted>
  <dcterms:created xsi:type="dcterms:W3CDTF">2018-07-30T08:52:00Z</dcterms:created>
  <dcterms:modified xsi:type="dcterms:W3CDTF">2018-08-01T08:19:00Z</dcterms:modified>
</cp:coreProperties>
</file>