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7C52A7A8" w14:textId="77777777" w:rsidR="00765680" w:rsidRDefault="00765680" w:rsidP="00765680"/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2B41BD52" w:rsidR="00765680" w:rsidRPr="00A32DEE" w:rsidRDefault="002F56C9" w:rsidP="00765680">
      <w:pPr>
        <w:pStyle w:val="Title"/>
        <w:jc w:val="center"/>
      </w:pPr>
      <w:r>
        <w:t>Working Group</w:t>
      </w:r>
      <w:r w:rsidRPr="00A32DEE">
        <w:t xml:space="preserve"> </w:t>
      </w:r>
      <w:r w:rsidR="00765680" w:rsidRPr="00A32DEE">
        <w:t>Report</w:t>
      </w:r>
      <w:r w:rsidR="004469D2">
        <w:t xml:space="preserve"> - 20</w:t>
      </w:r>
      <w:r w:rsidR="00AC1174">
        <w:t>20</w:t>
      </w:r>
    </w:p>
    <w:p w14:paraId="529194FD" w14:textId="77777777" w:rsidR="00765680" w:rsidRDefault="00765680"/>
    <w:p w14:paraId="360D9DA1" w14:textId="77777777" w:rsidR="00AF1A45" w:rsidRDefault="00AF1A45"/>
    <w:p w14:paraId="4364FCA9" w14:textId="2361F0E2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2F56C9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Working Group</w:t>
      </w:r>
      <w:r w:rsidR="002F56C9"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CCA5D8F" w14:textId="77777777" w:rsidR="00B42A38" w:rsidRPr="00A32DEE" w:rsidRDefault="00B42A38" w:rsidP="00B42A38">
      <w:pPr>
        <w:pStyle w:val="Title"/>
        <w:jc w:val="center"/>
        <w:rPr>
          <w:sz w:val="36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77777777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2B8C74EA" w:rsidR="00A32DEE" w:rsidRPr="008E67C1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Working Group Chairs</w:t>
            </w:r>
            <w:r w:rsidR="00A32DEE" w:rsidRPr="008E67C1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="00A32DEE"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>
              <w:rPr>
                <w:sz w:val="18"/>
                <w:szCs w:val="20"/>
              </w:rPr>
              <w:t>Working Group</w:t>
            </w:r>
            <w:r w:rsidR="00515309" w:rsidRPr="008E67C1">
              <w:rPr>
                <w:sz w:val="18"/>
                <w:szCs w:val="20"/>
              </w:rPr>
              <w:t xml:space="preserve"> </w:t>
            </w:r>
            <w:r w:rsidR="00184FDC">
              <w:rPr>
                <w:sz w:val="18"/>
                <w:szCs w:val="20"/>
              </w:rPr>
              <w:t>R</w:t>
            </w:r>
            <w:r w:rsidR="00A32DEE" w:rsidRPr="008E67C1">
              <w:rPr>
                <w:sz w:val="18"/>
                <w:szCs w:val="20"/>
              </w:rPr>
              <w:t xml:space="preserve">eport for the </w:t>
            </w:r>
            <w:r w:rsidR="00515309" w:rsidRPr="00AD1C1C">
              <w:rPr>
                <w:sz w:val="18"/>
                <w:szCs w:val="20"/>
              </w:rPr>
              <w:t>2</w:t>
            </w:r>
            <w:r w:rsidR="00AC1174">
              <w:rPr>
                <w:sz w:val="18"/>
                <w:szCs w:val="20"/>
              </w:rPr>
              <w:t>7th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A32DEE" w:rsidRPr="00AD1C1C">
              <w:rPr>
                <w:sz w:val="18"/>
                <w:szCs w:val="20"/>
              </w:rPr>
              <w:t xml:space="preserve">APLMF </w:t>
            </w:r>
            <w:r w:rsidR="00AC1174">
              <w:rPr>
                <w:sz w:val="18"/>
                <w:szCs w:val="20"/>
              </w:rPr>
              <w:t>Online Me</w:t>
            </w:r>
            <w:r w:rsidR="00A32DEE" w:rsidRPr="00AD1C1C">
              <w:rPr>
                <w:sz w:val="18"/>
                <w:szCs w:val="20"/>
              </w:rPr>
              <w:t xml:space="preserve">eting </w:t>
            </w:r>
            <w:r w:rsidR="00AC1174">
              <w:rPr>
                <w:sz w:val="18"/>
                <w:szCs w:val="20"/>
              </w:rPr>
              <w:t>3 &amp; 4 December</w:t>
            </w:r>
            <w:r w:rsidR="00A32DEE" w:rsidRPr="00AD1C1C">
              <w:rPr>
                <w:sz w:val="18"/>
                <w:szCs w:val="20"/>
              </w:rPr>
              <w:t xml:space="preserve"> 20</w:t>
            </w:r>
            <w:r w:rsidR="00AC1174">
              <w:rPr>
                <w:sz w:val="18"/>
                <w:szCs w:val="20"/>
              </w:rPr>
              <w:t xml:space="preserve">20. </w:t>
            </w:r>
            <w:r w:rsidR="00A32DEE" w:rsidRPr="008E67C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WG Chairs </w:t>
            </w:r>
            <w:r w:rsidR="00A32DEE" w:rsidRPr="008E67C1">
              <w:rPr>
                <w:sz w:val="18"/>
                <w:szCs w:val="20"/>
              </w:rPr>
              <w:t xml:space="preserve">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="00A32DEE"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 xml:space="preserve">is </w:t>
            </w:r>
            <w:proofErr w:type="gramStart"/>
            <w:r w:rsidR="00515309" w:rsidRPr="008E67C1">
              <w:rPr>
                <w:sz w:val="18"/>
                <w:szCs w:val="20"/>
              </w:rPr>
              <w:t>template</w:t>
            </w:r>
            <w:r w:rsidR="00A32DEE" w:rsidRPr="008E67C1">
              <w:rPr>
                <w:sz w:val="18"/>
                <w:szCs w:val="20"/>
              </w:rPr>
              <w:t>, but</w:t>
            </w:r>
            <w:proofErr w:type="gramEnd"/>
            <w:r w:rsidR="00A32DEE" w:rsidRPr="008E67C1">
              <w:rPr>
                <w:sz w:val="18"/>
                <w:szCs w:val="20"/>
              </w:rPr>
              <w:t xml:space="preserve">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>
              <w:rPr>
                <w:sz w:val="18"/>
                <w:szCs w:val="20"/>
              </w:rPr>
              <w:t>r</w:t>
            </w:r>
            <w:r w:rsidR="0048145C">
              <w:rPr>
                <w:sz w:val="18"/>
                <w:szCs w:val="20"/>
              </w:rPr>
              <w:t>e</w:t>
            </w:r>
            <w:r w:rsidR="00A32DEE" w:rsidRPr="008E67C1">
              <w:rPr>
                <w:sz w:val="18"/>
                <w:szCs w:val="20"/>
              </w:rPr>
              <w:t>port.</w:t>
            </w:r>
          </w:p>
          <w:p w14:paraId="33D1CDC7" w14:textId="2C2E9280" w:rsidR="0048145C" w:rsidRPr="00AD1C1C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AD1C1C">
              <w:rPr>
                <w:sz w:val="18"/>
                <w:szCs w:val="20"/>
              </w:rPr>
              <w:t>Working Group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>Re</w:t>
            </w:r>
            <w:r w:rsidR="00A32DEE" w:rsidRPr="00AD1C1C">
              <w:rPr>
                <w:sz w:val="18"/>
                <w:szCs w:val="20"/>
              </w:rPr>
              <w:t>port</w:t>
            </w:r>
            <w:r w:rsidR="008E67C1" w:rsidRPr="00AD1C1C">
              <w:rPr>
                <w:sz w:val="18"/>
                <w:szCs w:val="20"/>
              </w:rPr>
              <w:t xml:space="preserve">s </w:t>
            </w:r>
            <w:r w:rsidR="007035A9">
              <w:rPr>
                <w:sz w:val="18"/>
                <w:szCs w:val="20"/>
              </w:rPr>
              <w:t>should</w:t>
            </w:r>
            <w:r w:rsidR="008E67C1" w:rsidRPr="00AD1C1C">
              <w:rPr>
                <w:sz w:val="18"/>
                <w:szCs w:val="20"/>
              </w:rPr>
              <w:t xml:space="preserve"> </w:t>
            </w:r>
            <w:r w:rsidR="00A32DEE" w:rsidRPr="00AD1C1C">
              <w:rPr>
                <w:sz w:val="18"/>
                <w:szCs w:val="20"/>
              </w:rPr>
              <w:t xml:space="preserve">be </w:t>
            </w:r>
            <w:r w:rsidR="00A32DEE" w:rsidRPr="00AD1C1C">
              <w:rPr>
                <w:b/>
                <w:sz w:val="18"/>
                <w:szCs w:val="20"/>
              </w:rPr>
              <w:t xml:space="preserve">completed and returned </w:t>
            </w:r>
            <w:r w:rsidR="00A32DEE" w:rsidRPr="00AD1C1C">
              <w:rPr>
                <w:sz w:val="18"/>
                <w:szCs w:val="20"/>
              </w:rPr>
              <w:t>to the Secretariat</w:t>
            </w:r>
            <w:r w:rsidR="00A32DEE" w:rsidRPr="00AD1C1C">
              <w:rPr>
                <w:b/>
                <w:sz w:val="18"/>
                <w:szCs w:val="20"/>
              </w:rPr>
              <w:t xml:space="preserve"> by </w:t>
            </w:r>
            <w:r w:rsidR="00AC1174">
              <w:rPr>
                <w:b/>
                <w:sz w:val="18"/>
                <w:szCs w:val="20"/>
              </w:rPr>
              <w:t>Friday 30</w:t>
            </w:r>
            <w:r w:rsidR="00AC1174" w:rsidRPr="00AC1174">
              <w:rPr>
                <w:b/>
                <w:sz w:val="18"/>
                <w:szCs w:val="20"/>
                <w:vertAlign w:val="superscript"/>
              </w:rPr>
              <w:t>th</w:t>
            </w:r>
            <w:r w:rsidR="00AC1174">
              <w:rPr>
                <w:b/>
                <w:sz w:val="18"/>
                <w:szCs w:val="20"/>
              </w:rPr>
              <w:t xml:space="preserve"> </w:t>
            </w:r>
            <w:r w:rsidR="007035A9">
              <w:rPr>
                <w:b/>
                <w:sz w:val="18"/>
                <w:szCs w:val="20"/>
              </w:rPr>
              <w:t>October 20</w:t>
            </w:r>
            <w:r w:rsidR="00AC1174">
              <w:rPr>
                <w:b/>
                <w:sz w:val="18"/>
                <w:szCs w:val="20"/>
              </w:rPr>
              <w:t>20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BB636A">
              <w:rPr>
                <w:sz w:val="18"/>
                <w:szCs w:val="20"/>
              </w:rPr>
              <w:t xml:space="preserve">to </w:t>
            </w:r>
            <w:r w:rsidR="00515309" w:rsidRPr="00AD1C1C">
              <w:rPr>
                <w:sz w:val="18"/>
                <w:szCs w:val="20"/>
              </w:rPr>
              <w:t xml:space="preserve">provide sufficient time </w:t>
            </w:r>
            <w:r w:rsidR="008E67C1" w:rsidRPr="00AD1C1C">
              <w:rPr>
                <w:sz w:val="18"/>
                <w:szCs w:val="20"/>
              </w:rPr>
              <w:t xml:space="preserve">for </w:t>
            </w:r>
            <w:r w:rsidR="00515309" w:rsidRPr="00AD1C1C">
              <w:rPr>
                <w:sz w:val="18"/>
                <w:szCs w:val="20"/>
              </w:rPr>
              <w:t>the Secretariat to upload your report</w:t>
            </w:r>
            <w:r w:rsidR="00F62FCF" w:rsidRPr="00AD1C1C">
              <w:rPr>
                <w:sz w:val="18"/>
                <w:szCs w:val="20"/>
              </w:rPr>
              <w:t xml:space="preserve"> </w:t>
            </w:r>
            <w:r w:rsidRPr="00AD1C1C">
              <w:rPr>
                <w:sz w:val="18"/>
                <w:szCs w:val="20"/>
              </w:rPr>
              <w:t xml:space="preserve">as a PDF file </w:t>
            </w:r>
            <w:r w:rsidR="00F62FCF" w:rsidRPr="00AD1C1C">
              <w:rPr>
                <w:sz w:val="18"/>
                <w:szCs w:val="20"/>
              </w:rPr>
              <w:t>to the Meeting webpage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F62FCF" w:rsidRPr="00AD1C1C">
              <w:rPr>
                <w:sz w:val="18"/>
                <w:szCs w:val="20"/>
              </w:rPr>
              <w:t>so</w:t>
            </w:r>
            <w:r w:rsidR="009A057D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 xml:space="preserve">attendees </w:t>
            </w:r>
            <w:r w:rsidR="00F62FCF" w:rsidRPr="00AD1C1C">
              <w:rPr>
                <w:sz w:val="18"/>
                <w:szCs w:val="20"/>
              </w:rPr>
              <w:t xml:space="preserve">can view </w:t>
            </w:r>
            <w:r w:rsidR="009A057D" w:rsidRPr="00AD1C1C">
              <w:rPr>
                <w:sz w:val="18"/>
                <w:szCs w:val="20"/>
              </w:rPr>
              <w:t xml:space="preserve">the </w:t>
            </w:r>
            <w:r w:rsidR="00F62FCF" w:rsidRPr="00AD1C1C">
              <w:rPr>
                <w:sz w:val="18"/>
                <w:szCs w:val="20"/>
              </w:rPr>
              <w:t>report</w:t>
            </w:r>
            <w:r w:rsidR="00AD1C1C" w:rsidRPr="00AD1C1C">
              <w:rPr>
                <w:sz w:val="18"/>
                <w:szCs w:val="20"/>
              </w:rPr>
              <w:t>s</w:t>
            </w:r>
            <w:r w:rsidR="00515309" w:rsidRPr="00AD1C1C">
              <w:rPr>
                <w:sz w:val="18"/>
                <w:szCs w:val="20"/>
              </w:rPr>
              <w:t xml:space="preserve"> prior to the meeting. 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p w14:paraId="7479CD7F" w14:textId="77777777" w:rsidR="00AF1A45" w:rsidRDefault="00AF1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696"/>
      </w:tblGrid>
      <w:tr w:rsidR="00B42A38" w:rsidRPr="00AF1A45" w14:paraId="33C7273E" w14:textId="77777777" w:rsidTr="001D4E74">
        <w:tc>
          <w:tcPr>
            <w:tcW w:w="3369" w:type="dxa"/>
          </w:tcPr>
          <w:p w14:paraId="7FCD69F5" w14:textId="5A24D3B8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48145C">
              <w:rPr>
                <w:sz w:val="24"/>
              </w:rPr>
              <w:t xml:space="preserve">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811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1D4E74">
        <w:tc>
          <w:tcPr>
            <w:tcW w:w="3369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811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1D4E74">
        <w:tc>
          <w:tcPr>
            <w:tcW w:w="3369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811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1D4E74">
        <w:tc>
          <w:tcPr>
            <w:tcW w:w="3369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811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71DF25DC" w14:textId="77777777" w:rsidR="00DD1F87" w:rsidRDefault="00DD1F8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58C5D1A2" w14:textId="77777777" w:rsidR="006C4B5C" w:rsidRDefault="006C4B5C" w:rsidP="008E67C1">
      <w:pPr>
        <w:pStyle w:val="Heading1"/>
      </w:pPr>
    </w:p>
    <w:p w14:paraId="38081E1A" w14:textId="77777777" w:rsidR="006C4B5C" w:rsidRDefault="006C4B5C" w:rsidP="008E67C1">
      <w:pPr>
        <w:pStyle w:val="Heading1"/>
      </w:pPr>
    </w:p>
    <w:p w14:paraId="18BC5E0A" w14:textId="39D68CB7" w:rsidR="00F05746" w:rsidRPr="008E67C1" w:rsidRDefault="00F05746" w:rsidP="008E67C1">
      <w:pPr>
        <w:pStyle w:val="Heading1"/>
      </w:pPr>
      <w:r w:rsidRPr="008E67C1"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</w:t>
      </w:r>
      <w:r w:rsidR="006C4B5C">
        <w:t>Details of the membership of the Working Group</w:t>
      </w:r>
      <w:r w:rsidR="00515309" w:rsidRPr="008E67C1">
        <w:t xml:space="preserve"> </w:t>
      </w:r>
    </w:p>
    <w:p w14:paraId="0D705584" w14:textId="77777777" w:rsidR="00F05746" w:rsidRDefault="00F05746"/>
    <w:p w14:paraId="1A292CB1" w14:textId="77777777" w:rsidR="008E67C1" w:rsidRDefault="008E67C1"/>
    <w:p w14:paraId="38A4552C" w14:textId="77777777" w:rsidR="000466F3" w:rsidRDefault="000466F3" w:rsidP="000466F3"/>
    <w:p w14:paraId="2792B5D5" w14:textId="43C05E77" w:rsidR="008E67C1" w:rsidRDefault="008E67C1">
      <w:pPr>
        <w:spacing w:after="200" w:line="276" w:lineRule="auto"/>
        <w:rPr>
          <w:b/>
        </w:rPr>
      </w:pPr>
    </w:p>
    <w:p w14:paraId="0A8D3761" w14:textId="77777777" w:rsidR="003638E0" w:rsidRDefault="003638E0">
      <w:pPr>
        <w:spacing w:after="200" w:line="276" w:lineRule="auto"/>
        <w:rPr>
          <w:b/>
        </w:rPr>
      </w:pPr>
    </w:p>
    <w:p w14:paraId="15A0946D" w14:textId="77777777" w:rsidR="003638E0" w:rsidRDefault="003638E0">
      <w:pPr>
        <w:spacing w:after="200" w:line="276" w:lineRule="auto"/>
        <w:rPr>
          <w:b/>
        </w:rPr>
      </w:pPr>
    </w:p>
    <w:p w14:paraId="4C6ADF81" w14:textId="77777777" w:rsidR="003638E0" w:rsidRDefault="003638E0">
      <w:pPr>
        <w:spacing w:after="200" w:line="276" w:lineRule="auto"/>
        <w:rPr>
          <w:b/>
        </w:rPr>
      </w:pPr>
    </w:p>
    <w:p w14:paraId="3B0D43C3" w14:textId="77777777" w:rsidR="003638E0" w:rsidRDefault="003638E0">
      <w:pPr>
        <w:spacing w:after="200" w:line="276" w:lineRule="auto"/>
        <w:rPr>
          <w:b/>
        </w:rPr>
      </w:pPr>
    </w:p>
    <w:p w14:paraId="66924CFE" w14:textId="77777777" w:rsidR="003638E0" w:rsidRDefault="003638E0">
      <w:pPr>
        <w:spacing w:after="200" w:line="276" w:lineRule="auto"/>
        <w:rPr>
          <w:b/>
        </w:rPr>
      </w:pPr>
    </w:p>
    <w:p w14:paraId="42566327" w14:textId="5D562494" w:rsidR="00F05746" w:rsidRDefault="00F05746" w:rsidP="008E67C1">
      <w:pPr>
        <w:pStyle w:val="Heading1"/>
      </w:pPr>
      <w:r w:rsidRPr="00A528FE"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AD1C1C">
        <w:t>201</w:t>
      </w:r>
      <w:r w:rsidR="00AC1174">
        <w:t>9/20</w:t>
      </w:r>
      <w:r w:rsidR="006C4B5C">
        <w:t xml:space="preserve"> </w:t>
      </w:r>
    </w:p>
    <w:p w14:paraId="2CA297C2" w14:textId="77777777" w:rsidR="006C4B5C" w:rsidRPr="006C4B5C" w:rsidRDefault="006C4B5C" w:rsidP="00CD5A88"/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59F883BB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</w:t>
            </w:r>
            <w:r w:rsidR="006C4B5C">
              <w:rPr>
                <w:i/>
                <w:sz w:val="20"/>
              </w:rPr>
              <w:t>progress and activities since the last annual APLMF meeting.</w:t>
            </w:r>
            <w:r w:rsidR="00F62BF5">
              <w:rPr>
                <w:i/>
                <w:sz w:val="20"/>
              </w:rPr>
              <w:t xml:space="preserve"> </w:t>
            </w:r>
          </w:p>
          <w:p w14:paraId="7285F91D" w14:textId="7E6DC8FC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06ED58E6" w14:textId="77777777" w:rsidR="003638E0" w:rsidRDefault="003638E0" w:rsidP="00F05746"/>
    <w:p w14:paraId="5A7826DA" w14:textId="77777777" w:rsidR="003638E0" w:rsidRDefault="003638E0" w:rsidP="00F05746"/>
    <w:p w14:paraId="4E7754FB" w14:textId="77777777" w:rsidR="003638E0" w:rsidRDefault="003638E0" w:rsidP="00F05746"/>
    <w:p w14:paraId="53040E94" w14:textId="77777777" w:rsidR="003638E0" w:rsidRDefault="003638E0" w:rsidP="00F05746"/>
    <w:p w14:paraId="5DB02519" w14:textId="77777777" w:rsidR="003638E0" w:rsidRDefault="003638E0" w:rsidP="00F05746"/>
    <w:p w14:paraId="498C080C" w14:textId="77777777" w:rsidR="003638E0" w:rsidRDefault="003638E0" w:rsidP="00F05746"/>
    <w:p w14:paraId="1C1D97A4" w14:textId="77777777" w:rsidR="003638E0" w:rsidRDefault="003638E0" w:rsidP="00F05746"/>
    <w:p w14:paraId="364F3BE8" w14:textId="77777777" w:rsidR="003638E0" w:rsidRDefault="003638E0" w:rsidP="00F05746"/>
    <w:p w14:paraId="18B9F825" w14:textId="77777777" w:rsidR="003638E0" w:rsidRDefault="003638E0" w:rsidP="00F05746"/>
    <w:p w14:paraId="31715425" w14:textId="77777777" w:rsidR="003638E0" w:rsidRDefault="003638E0" w:rsidP="00F05746"/>
    <w:p w14:paraId="63B5EBD3" w14:textId="77777777" w:rsidR="003638E0" w:rsidRDefault="003638E0" w:rsidP="00F05746"/>
    <w:p w14:paraId="5524FC6E" w14:textId="77777777" w:rsidR="003638E0" w:rsidRDefault="003638E0" w:rsidP="00F05746"/>
    <w:p w14:paraId="06F4EEB1" w14:textId="77777777" w:rsidR="003638E0" w:rsidRDefault="003638E0" w:rsidP="00F05746"/>
    <w:p w14:paraId="7D75B0E6" w14:textId="77777777" w:rsidR="003638E0" w:rsidRDefault="003638E0" w:rsidP="00F05746"/>
    <w:p w14:paraId="27105507" w14:textId="77777777" w:rsidR="003638E0" w:rsidRDefault="003638E0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16DD34D6" w14:textId="06187ABC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  <w:r w:rsidR="003638E0">
        <w:t>- Recommendations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C43E719" w14:textId="77777777" w:rsidR="006C4B5C" w:rsidRPr="00CD5A88" w:rsidRDefault="006C4B5C" w:rsidP="00CD5A88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Proposed programme for further work (for next year and out years)</w:t>
            </w:r>
          </w:p>
          <w:p w14:paraId="7AD5EF6C" w14:textId="2E6EBE84" w:rsidR="002957EB" w:rsidRPr="00333437" w:rsidRDefault="002957EB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</w:p>
        </w:tc>
      </w:tr>
    </w:tbl>
    <w:p w14:paraId="7A62FF5E" w14:textId="77777777" w:rsidR="002957EB" w:rsidRDefault="002957EB" w:rsidP="00F05746"/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389AAF8E" w14:textId="77777777" w:rsidR="003638E0" w:rsidRDefault="003638E0" w:rsidP="00333437"/>
    <w:p w14:paraId="214DB567" w14:textId="77777777" w:rsidR="003638E0" w:rsidRDefault="003638E0" w:rsidP="00333437"/>
    <w:p w14:paraId="2E5DFC5E" w14:textId="77777777" w:rsidR="003638E0" w:rsidRDefault="003638E0" w:rsidP="00333437"/>
    <w:p w14:paraId="66A7667B" w14:textId="77777777" w:rsidR="003638E0" w:rsidRDefault="003638E0" w:rsidP="00333437"/>
    <w:p w14:paraId="3F136FB3" w14:textId="77777777" w:rsidR="003638E0" w:rsidRDefault="003638E0" w:rsidP="00333437"/>
    <w:p w14:paraId="67B0F8E5" w14:textId="77777777" w:rsidR="003638E0" w:rsidRDefault="003638E0" w:rsidP="00333437"/>
    <w:p w14:paraId="5119479F" w14:textId="77777777" w:rsidR="003638E0" w:rsidRDefault="003638E0" w:rsidP="00333437"/>
    <w:p w14:paraId="51DD8F3A" w14:textId="77777777" w:rsidR="003638E0" w:rsidRDefault="003638E0" w:rsidP="00333437"/>
    <w:p w14:paraId="3BCC9690" w14:textId="77777777" w:rsidR="003638E0" w:rsidRDefault="003638E0" w:rsidP="00333437"/>
    <w:p w14:paraId="32B8DAC5" w14:textId="77777777" w:rsidR="003638E0" w:rsidRDefault="003638E0" w:rsidP="00333437"/>
    <w:p w14:paraId="78AD83D7" w14:textId="77777777" w:rsidR="003638E0" w:rsidRDefault="003638E0" w:rsidP="00333437"/>
    <w:p w14:paraId="628C4080" w14:textId="78209045" w:rsidR="003638E0" w:rsidRDefault="003638E0" w:rsidP="003638E0">
      <w:pPr>
        <w:pStyle w:val="Heading1"/>
      </w:pPr>
      <w:r w:rsidRPr="00A528FE">
        <w:t>S</w:t>
      </w:r>
      <w:r>
        <w:t>ECTION 4</w:t>
      </w:r>
      <w:r w:rsidRPr="00A528FE">
        <w:t xml:space="preserve"> – F</w:t>
      </w:r>
      <w:r>
        <w:t>uture focus – emerging issues</w:t>
      </w:r>
    </w:p>
    <w:p w14:paraId="07F3888F" w14:textId="77777777" w:rsidR="00333437" w:rsidRDefault="00333437" w:rsidP="00333437"/>
    <w:p w14:paraId="24CA77F8" w14:textId="77777777" w:rsidR="00333437" w:rsidRDefault="00333437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3638E0" w14:paraId="05E7B836" w14:textId="77777777" w:rsidTr="0063551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D5A71E5" w14:textId="4E823C3A" w:rsidR="003638E0" w:rsidRPr="00CD5A88" w:rsidRDefault="003638E0" w:rsidP="003638E0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Identif</w:t>
            </w:r>
            <w:r>
              <w:rPr>
                <w:i/>
                <w:lang w:val="en-AU"/>
              </w:rPr>
              <w:t>y</w:t>
            </w:r>
            <w:r w:rsidRPr="00CD5A88">
              <w:rPr>
                <w:i/>
                <w:lang w:val="en-AU"/>
              </w:rPr>
              <w:t xml:space="preserve"> emerging issues, risks, resourcing issues, engagement etc., and any proposed solutions for APLMF Executive or members to consider</w:t>
            </w:r>
          </w:p>
          <w:p w14:paraId="082EC928" w14:textId="77777777" w:rsidR="003638E0" w:rsidRPr="00333437" w:rsidRDefault="003638E0" w:rsidP="00CD5A88">
            <w:pPr>
              <w:spacing w:after="60"/>
              <w:rPr>
                <w:b/>
                <w:i/>
                <w:sz w:val="20"/>
              </w:rPr>
            </w:pPr>
          </w:p>
        </w:tc>
      </w:tr>
    </w:tbl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D8A9" w14:textId="77777777" w:rsidR="00B07862" w:rsidRDefault="00B07862" w:rsidP="00765680">
      <w:r>
        <w:separator/>
      </w:r>
    </w:p>
  </w:endnote>
  <w:endnote w:type="continuationSeparator" w:id="0">
    <w:p w14:paraId="2BCD22DF" w14:textId="77777777" w:rsidR="00B07862" w:rsidRDefault="00B07862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0FD1" w14:textId="77777777" w:rsidR="00F62939" w:rsidRDefault="00F62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BB34" w14:textId="77777777" w:rsidR="00F62939" w:rsidRDefault="00F62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80D2" w14:textId="77777777" w:rsidR="00F62939" w:rsidRDefault="00F6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1CD2" w14:textId="77777777" w:rsidR="00B07862" w:rsidRDefault="00B07862" w:rsidP="00765680">
      <w:r>
        <w:separator/>
      </w:r>
    </w:p>
  </w:footnote>
  <w:footnote w:type="continuationSeparator" w:id="0">
    <w:p w14:paraId="0E32C7BD" w14:textId="77777777" w:rsidR="00B07862" w:rsidRDefault="00B07862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F757" w14:textId="77777777" w:rsidR="00F62939" w:rsidRDefault="00F62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2A99" w14:textId="00DA3663" w:rsidR="00765680" w:rsidRPr="00A32DEE" w:rsidRDefault="00C748B9">
    <w:pPr>
      <w:pStyle w:val="Header"/>
    </w:pPr>
    <w:r>
      <w:rPr>
        <w:noProof/>
        <w:lang w:eastAsia="en-NZ"/>
      </w:rPr>
      <w:t>Working Group Report – [</w:t>
    </w:r>
    <w:r w:rsidRPr="00C748B9">
      <w:rPr>
        <w:noProof/>
        <w:highlight w:val="yellow"/>
        <w:lang w:eastAsia="en-NZ"/>
      </w:rPr>
      <w:t>insert WG Name</w:t>
    </w:r>
    <w:r>
      <w:rPr>
        <w:noProof/>
        <w:lang w:eastAsia="en-NZ"/>
      </w:rPr>
      <w:t xml:space="preserve">]  </w:t>
    </w:r>
    <w:r w:rsidR="00A32DEE">
      <w:rPr>
        <w:noProof/>
        <w:lang w:eastAsia="en-NZ"/>
      </w:rPr>
      <w:t xml:space="preserve"> </w:t>
    </w:r>
    <w:r w:rsidR="00A32DEE">
      <w:rPr>
        <w:i/>
        <w:noProof/>
        <w:lang w:eastAsia="en-NZ"/>
      </w:rPr>
      <w:tab/>
    </w:r>
    <w:r w:rsidR="00A32DEE">
      <w:rPr>
        <w:i/>
        <w:noProof/>
        <w:lang w:eastAsia="en-NZ"/>
      </w:rPr>
      <w:tab/>
    </w:r>
    <w:r w:rsidR="00A32DEE" w:rsidRPr="00A32DEE">
      <w:rPr>
        <w:noProof/>
        <w:lang w:eastAsia="en-NZ"/>
      </w:rPr>
      <w:t xml:space="preserve">Page | </w:t>
    </w:r>
    <w:r w:rsidR="00A32DEE" w:rsidRPr="00A32DEE">
      <w:rPr>
        <w:noProof/>
        <w:lang w:eastAsia="en-NZ"/>
      </w:rPr>
      <w:fldChar w:fldCharType="begin"/>
    </w:r>
    <w:r w:rsidR="00A32DEE" w:rsidRPr="00A32DEE">
      <w:rPr>
        <w:noProof/>
        <w:lang w:eastAsia="en-NZ"/>
      </w:rPr>
      <w:instrText xml:space="preserve"> PAGE   \* MERGEFORMAT </w:instrText>
    </w:r>
    <w:r w:rsidR="00A32DEE" w:rsidRPr="00A32DEE">
      <w:rPr>
        <w:noProof/>
        <w:lang w:eastAsia="en-NZ"/>
      </w:rPr>
      <w:fldChar w:fldCharType="separate"/>
    </w:r>
    <w:r w:rsidR="00F62939">
      <w:rPr>
        <w:noProof/>
        <w:lang w:eastAsia="en-NZ"/>
      </w:rPr>
      <w:t>3</w:t>
    </w:r>
    <w:r w:rsidR="00A32DEE" w:rsidRPr="00A32DEE">
      <w:rPr>
        <w:noProof/>
        <w:lang w:eastAsia="en-NZ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E049" w14:textId="55C8024A" w:rsidR="00A32DEE" w:rsidRDefault="001068F9">
    <w:pPr>
      <w:pStyle w:val="Header"/>
    </w:pPr>
    <w:r>
      <w:rPr>
        <w:noProof/>
      </w:rPr>
      <w:drawing>
        <wp:inline distT="0" distB="0" distL="0" distR="0" wp14:anchorId="750CBA61" wp14:editId="0574BBF7">
          <wp:extent cx="5731510" cy="1331595"/>
          <wp:effectExtent l="0" t="0" r="2540" b="190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MF Mtg Logo NZ 2020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CDA"/>
    <w:multiLevelType w:val="hybridMultilevel"/>
    <w:tmpl w:val="AAB4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68F9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6C9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38E0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69D2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76B"/>
    <w:rsid w:val="0066553F"/>
    <w:rsid w:val="006669AA"/>
    <w:rsid w:val="0066775F"/>
    <w:rsid w:val="006679E8"/>
    <w:rsid w:val="0067223A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4B5C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5A9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921CE"/>
    <w:rsid w:val="00892358"/>
    <w:rsid w:val="00894982"/>
    <w:rsid w:val="0089560F"/>
    <w:rsid w:val="00897DA3"/>
    <w:rsid w:val="008A2A48"/>
    <w:rsid w:val="008A4545"/>
    <w:rsid w:val="008A673C"/>
    <w:rsid w:val="008A7D8D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D7001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48D4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14E3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1174"/>
    <w:rsid w:val="00AC251F"/>
    <w:rsid w:val="00AC498C"/>
    <w:rsid w:val="00AC6218"/>
    <w:rsid w:val="00AC7B6A"/>
    <w:rsid w:val="00AC7EAB"/>
    <w:rsid w:val="00AD1C1C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62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B636A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1E81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48B9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A88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0CF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625C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C7E65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939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78C9-1850-413B-84CD-38D7F476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3</cp:revision>
  <cp:lastPrinted>2016-06-01T01:58:00Z</cp:lastPrinted>
  <dcterms:created xsi:type="dcterms:W3CDTF">2020-06-02T21:47:00Z</dcterms:created>
  <dcterms:modified xsi:type="dcterms:W3CDTF">2020-06-07T23:37:00Z</dcterms:modified>
</cp:coreProperties>
</file>