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237A3" w14:textId="77777777" w:rsidR="00765680" w:rsidRDefault="00765680" w:rsidP="00765680"/>
    <w:p w14:paraId="08AD52EB" w14:textId="77777777" w:rsidR="00765680" w:rsidRPr="00765680" w:rsidRDefault="00765680" w:rsidP="00765680">
      <w:pPr>
        <w:jc w:val="center"/>
      </w:pPr>
    </w:p>
    <w:p w14:paraId="7C52A7A8" w14:textId="77777777" w:rsidR="00765680" w:rsidRDefault="00765680" w:rsidP="00765680"/>
    <w:p w14:paraId="09F6D145" w14:textId="77777777" w:rsidR="00DD1F87" w:rsidRDefault="00DD1F87" w:rsidP="00765680"/>
    <w:p w14:paraId="5CC6F3A5" w14:textId="77777777" w:rsidR="00DD1F87" w:rsidRDefault="00DD1F87" w:rsidP="00765680"/>
    <w:p w14:paraId="577DE7E4" w14:textId="77777777" w:rsidR="00B42A38" w:rsidRDefault="00B42A38" w:rsidP="00765680"/>
    <w:p w14:paraId="143605B3" w14:textId="77777777" w:rsidR="00765680" w:rsidRPr="00765680" w:rsidRDefault="00765680" w:rsidP="00765680"/>
    <w:p w14:paraId="77855EC5" w14:textId="38E026CF" w:rsidR="00765680" w:rsidRPr="00A32DEE" w:rsidRDefault="00765680" w:rsidP="00765680">
      <w:pPr>
        <w:pStyle w:val="Title"/>
        <w:jc w:val="center"/>
      </w:pPr>
      <w:r w:rsidRPr="00A32DEE">
        <w:t>Economy Report</w:t>
      </w:r>
      <w:r w:rsidR="008B2F77">
        <w:t xml:space="preserve"> - 2017</w:t>
      </w:r>
    </w:p>
    <w:p w14:paraId="529194FD" w14:textId="77777777" w:rsidR="00765680" w:rsidRDefault="00765680"/>
    <w:p w14:paraId="360D9DA1" w14:textId="77777777" w:rsidR="00AF1A45" w:rsidRDefault="00AF1A45"/>
    <w:p w14:paraId="3B74D662" w14:textId="77777777" w:rsidR="00DF1412" w:rsidRPr="00DF1412" w:rsidRDefault="00DF1412" w:rsidP="00DF1412">
      <w:pPr>
        <w:jc w:val="center"/>
        <w:rPr>
          <w:rFonts w:asciiTheme="majorHAnsi" w:hAnsiTheme="majorHAnsi"/>
          <w:b/>
          <w:i/>
          <w:color w:val="17365D" w:themeColor="text2" w:themeShade="BF"/>
          <w:sz w:val="52"/>
          <w:szCs w:val="52"/>
        </w:rPr>
      </w:pPr>
      <w:r w:rsidRPr="00DF1412">
        <w:rPr>
          <w:rFonts w:asciiTheme="majorHAnsi" w:hAnsiTheme="majorHAnsi"/>
          <w:b/>
          <w:i/>
          <w:color w:val="17365D" w:themeColor="text2" w:themeShade="BF"/>
          <w:sz w:val="52"/>
          <w:szCs w:val="52"/>
        </w:rPr>
        <w:t>Canada</w:t>
      </w:r>
    </w:p>
    <w:p w14:paraId="143DAAB3" w14:textId="77777777" w:rsidR="00B42A38" w:rsidRPr="00A32DEE" w:rsidRDefault="00B42A38" w:rsidP="00AF1A45">
      <w:pPr>
        <w:jc w:val="center"/>
        <w:rPr>
          <w:rFonts w:asciiTheme="majorHAnsi" w:hAnsiTheme="majorHAnsi"/>
          <w:color w:val="17365D" w:themeColor="text2" w:themeShade="BF"/>
          <w:sz w:val="36"/>
          <w:szCs w:val="52"/>
        </w:rPr>
      </w:pPr>
    </w:p>
    <w:p w14:paraId="1CCA5D8F" w14:textId="77777777" w:rsidR="00B42A38" w:rsidRPr="00A32DEE" w:rsidRDefault="00B42A38" w:rsidP="00B42A38">
      <w:pPr>
        <w:pStyle w:val="Title"/>
        <w:jc w:val="center"/>
        <w:rPr>
          <w:sz w:val="36"/>
        </w:rPr>
      </w:pPr>
    </w:p>
    <w:tbl>
      <w:tblPr>
        <w:tblStyle w:val="TableGrid"/>
        <w:tblW w:w="0" w:type="auto"/>
        <w:tblLook w:val="04A0" w:firstRow="1" w:lastRow="0" w:firstColumn="1" w:lastColumn="0" w:noHBand="0" w:noVBand="1"/>
      </w:tblPr>
      <w:tblGrid>
        <w:gridCol w:w="2660"/>
        <w:gridCol w:w="6015"/>
      </w:tblGrid>
      <w:tr w:rsidR="00DF1412" w:rsidRPr="000E6A42" w14:paraId="7DC2F033" w14:textId="77777777" w:rsidTr="00C05A82">
        <w:tc>
          <w:tcPr>
            <w:tcW w:w="2660" w:type="dxa"/>
            <w:tcBorders>
              <w:top w:val="nil"/>
              <w:left w:val="nil"/>
              <w:bottom w:val="nil"/>
              <w:right w:val="nil"/>
            </w:tcBorders>
          </w:tcPr>
          <w:p w14:paraId="7CDAA40D" w14:textId="77777777" w:rsidR="00DF1412" w:rsidRPr="000E6A42" w:rsidRDefault="00DF1412" w:rsidP="00C05A82">
            <w:pPr>
              <w:spacing w:line="276" w:lineRule="auto"/>
              <w:rPr>
                <w:rFonts w:cs="Arial"/>
                <w:b/>
              </w:rPr>
            </w:pPr>
            <w:r w:rsidRPr="000E6A42">
              <w:rPr>
                <w:rFonts w:cs="Arial"/>
                <w:b/>
              </w:rPr>
              <w:t>Report developed/</w:t>
            </w:r>
          </w:p>
          <w:p w14:paraId="6AD4898C" w14:textId="77777777" w:rsidR="00DF1412" w:rsidRPr="000E6A42" w:rsidRDefault="00DF1412" w:rsidP="00C05A82">
            <w:pPr>
              <w:spacing w:line="276" w:lineRule="auto"/>
              <w:rPr>
                <w:rFonts w:cs="Arial"/>
                <w:b/>
              </w:rPr>
            </w:pPr>
            <w:r w:rsidRPr="000E6A42">
              <w:rPr>
                <w:rFonts w:cs="Arial"/>
                <w:b/>
              </w:rPr>
              <w:t>approved by:</w:t>
            </w:r>
          </w:p>
        </w:tc>
        <w:tc>
          <w:tcPr>
            <w:tcW w:w="6015" w:type="dxa"/>
            <w:tcBorders>
              <w:top w:val="nil"/>
              <w:left w:val="nil"/>
              <w:bottom w:val="nil"/>
              <w:right w:val="nil"/>
            </w:tcBorders>
          </w:tcPr>
          <w:p w14:paraId="76AD9F3D" w14:textId="77777777" w:rsidR="00DF1412" w:rsidRPr="000E6A42" w:rsidRDefault="00DF1412" w:rsidP="00C05A82">
            <w:pPr>
              <w:spacing w:line="276" w:lineRule="auto"/>
              <w:rPr>
                <w:rFonts w:cs="Arial"/>
              </w:rPr>
            </w:pPr>
            <w:r w:rsidRPr="000E6A42">
              <w:rPr>
                <w:rFonts w:cs="Arial"/>
              </w:rPr>
              <w:t>Alan E. Johnston</w:t>
            </w:r>
          </w:p>
        </w:tc>
      </w:tr>
      <w:tr w:rsidR="00DF1412" w:rsidRPr="000E6A42" w14:paraId="10D9AA1C" w14:textId="77777777" w:rsidTr="00C05A82">
        <w:tc>
          <w:tcPr>
            <w:tcW w:w="2660" w:type="dxa"/>
            <w:tcBorders>
              <w:top w:val="nil"/>
              <w:left w:val="nil"/>
              <w:bottom w:val="nil"/>
              <w:right w:val="nil"/>
            </w:tcBorders>
          </w:tcPr>
          <w:p w14:paraId="3A85DD46" w14:textId="77777777" w:rsidR="00DF1412" w:rsidRPr="000E6A42" w:rsidRDefault="00DF1412" w:rsidP="00C05A82">
            <w:pPr>
              <w:spacing w:after="200" w:line="276" w:lineRule="auto"/>
              <w:rPr>
                <w:rFonts w:cs="Arial"/>
                <w:b/>
              </w:rPr>
            </w:pPr>
            <w:r w:rsidRPr="000E6A42">
              <w:rPr>
                <w:rFonts w:cs="Arial"/>
                <w:b/>
              </w:rPr>
              <w:t>Position:</w:t>
            </w:r>
          </w:p>
        </w:tc>
        <w:tc>
          <w:tcPr>
            <w:tcW w:w="6015" w:type="dxa"/>
            <w:tcBorders>
              <w:top w:val="nil"/>
              <w:left w:val="nil"/>
              <w:bottom w:val="nil"/>
              <w:right w:val="nil"/>
            </w:tcBorders>
          </w:tcPr>
          <w:p w14:paraId="3C868CF0" w14:textId="77777777" w:rsidR="00DF1412" w:rsidRPr="000E6A42" w:rsidRDefault="00DF1412" w:rsidP="00C05A82">
            <w:pPr>
              <w:spacing w:after="200" w:line="276" w:lineRule="auto"/>
              <w:rPr>
                <w:rFonts w:cs="Arial"/>
              </w:rPr>
            </w:pPr>
            <w:r w:rsidRPr="000E6A42">
              <w:rPr>
                <w:rFonts w:cs="Arial"/>
              </w:rPr>
              <w:t>President</w:t>
            </w:r>
          </w:p>
        </w:tc>
      </w:tr>
      <w:tr w:rsidR="00DF1412" w:rsidRPr="000E6A42" w14:paraId="29BFDCD5" w14:textId="77777777" w:rsidTr="00C05A82">
        <w:tc>
          <w:tcPr>
            <w:tcW w:w="2660" w:type="dxa"/>
            <w:tcBorders>
              <w:top w:val="nil"/>
              <w:left w:val="nil"/>
              <w:bottom w:val="nil"/>
              <w:right w:val="nil"/>
            </w:tcBorders>
          </w:tcPr>
          <w:p w14:paraId="095F9C43" w14:textId="77777777" w:rsidR="00DF1412" w:rsidRPr="000E6A42" w:rsidRDefault="00DF1412" w:rsidP="00C05A82">
            <w:pPr>
              <w:spacing w:after="200" w:line="276" w:lineRule="auto"/>
              <w:rPr>
                <w:rFonts w:cs="Arial"/>
                <w:b/>
              </w:rPr>
            </w:pPr>
            <w:r w:rsidRPr="000E6A42">
              <w:rPr>
                <w:rFonts w:cs="Arial"/>
                <w:b/>
              </w:rPr>
              <w:t>Organisation:</w:t>
            </w:r>
          </w:p>
        </w:tc>
        <w:tc>
          <w:tcPr>
            <w:tcW w:w="6015" w:type="dxa"/>
            <w:tcBorders>
              <w:top w:val="nil"/>
              <w:left w:val="nil"/>
              <w:bottom w:val="nil"/>
              <w:right w:val="nil"/>
            </w:tcBorders>
          </w:tcPr>
          <w:p w14:paraId="33FA70A3" w14:textId="77777777" w:rsidR="00DF1412" w:rsidRPr="000E6A42" w:rsidRDefault="00DF1412" w:rsidP="00C05A82">
            <w:pPr>
              <w:spacing w:after="200" w:line="276" w:lineRule="auto"/>
              <w:rPr>
                <w:rFonts w:cs="Arial"/>
              </w:rPr>
            </w:pPr>
            <w:r w:rsidRPr="000E6A42">
              <w:rPr>
                <w:rFonts w:cs="Arial"/>
              </w:rPr>
              <w:t>Measurement Canada</w:t>
            </w:r>
          </w:p>
        </w:tc>
      </w:tr>
      <w:tr w:rsidR="00DF1412" w:rsidRPr="000E6A42" w14:paraId="662457E7" w14:textId="77777777" w:rsidTr="00C05A82">
        <w:tc>
          <w:tcPr>
            <w:tcW w:w="2660" w:type="dxa"/>
            <w:tcBorders>
              <w:top w:val="nil"/>
              <w:left w:val="nil"/>
              <w:bottom w:val="nil"/>
              <w:right w:val="nil"/>
            </w:tcBorders>
          </w:tcPr>
          <w:p w14:paraId="40879306" w14:textId="77777777" w:rsidR="00DF1412" w:rsidRPr="000E6A42" w:rsidRDefault="00DF1412" w:rsidP="00C05A82">
            <w:pPr>
              <w:spacing w:line="276" w:lineRule="auto"/>
              <w:rPr>
                <w:rFonts w:cs="Arial"/>
                <w:b/>
              </w:rPr>
            </w:pPr>
            <w:r w:rsidRPr="000E6A42">
              <w:rPr>
                <w:rFonts w:cs="Arial"/>
                <w:b/>
              </w:rPr>
              <w:t>Contact details:</w:t>
            </w:r>
          </w:p>
        </w:tc>
        <w:tc>
          <w:tcPr>
            <w:tcW w:w="6015" w:type="dxa"/>
            <w:tcBorders>
              <w:top w:val="nil"/>
              <w:left w:val="nil"/>
              <w:bottom w:val="nil"/>
              <w:right w:val="nil"/>
            </w:tcBorders>
          </w:tcPr>
          <w:p w14:paraId="2C201723" w14:textId="77777777" w:rsidR="00DF1412" w:rsidRPr="000E6A42" w:rsidRDefault="00DF1412" w:rsidP="00C05A82">
            <w:pPr>
              <w:spacing w:line="276" w:lineRule="auto"/>
              <w:rPr>
                <w:rFonts w:cs="Arial"/>
              </w:rPr>
            </w:pPr>
            <w:r w:rsidRPr="000E6A42">
              <w:rPr>
                <w:rFonts w:cs="Arial"/>
              </w:rPr>
              <w:t>151 Tunney's Pasture Boulevard Standards Building</w:t>
            </w:r>
          </w:p>
        </w:tc>
      </w:tr>
      <w:tr w:rsidR="00DF1412" w:rsidRPr="000E6A42" w14:paraId="7434D28D" w14:textId="77777777" w:rsidTr="00C05A82">
        <w:tc>
          <w:tcPr>
            <w:tcW w:w="2660" w:type="dxa"/>
            <w:tcBorders>
              <w:top w:val="nil"/>
              <w:left w:val="nil"/>
              <w:bottom w:val="nil"/>
              <w:right w:val="nil"/>
            </w:tcBorders>
          </w:tcPr>
          <w:p w14:paraId="1B4D2FFB" w14:textId="77777777" w:rsidR="00DF1412" w:rsidRPr="000E6A42" w:rsidRDefault="00DF1412" w:rsidP="00C05A82">
            <w:pPr>
              <w:spacing w:line="276" w:lineRule="auto"/>
              <w:rPr>
                <w:rFonts w:cs="Arial"/>
              </w:rPr>
            </w:pPr>
          </w:p>
        </w:tc>
        <w:tc>
          <w:tcPr>
            <w:tcW w:w="6015" w:type="dxa"/>
            <w:tcBorders>
              <w:top w:val="nil"/>
              <w:left w:val="nil"/>
              <w:bottom w:val="nil"/>
              <w:right w:val="nil"/>
            </w:tcBorders>
          </w:tcPr>
          <w:p w14:paraId="7B367BB5" w14:textId="77777777" w:rsidR="00DF1412" w:rsidRPr="000E6A42" w:rsidRDefault="00DF1412" w:rsidP="00C05A82">
            <w:pPr>
              <w:spacing w:line="276" w:lineRule="auto"/>
              <w:rPr>
                <w:rFonts w:cs="Arial"/>
              </w:rPr>
            </w:pPr>
            <w:r w:rsidRPr="000E6A42">
              <w:rPr>
                <w:rFonts w:cs="Arial"/>
              </w:rPr>
              <w:t>Room 253</w:t>
            </w:r>
          </w:p>
        </w:tc>
      </w:tr>
      <w:tr w:rsidR="00DF1412" w:rsidRPr="000E6A42" w14:paraId="796C01E0" w14:textId="77777777" w:rsidTr="00C05A82">
        <w:tc>
          <w:tcPr>
            <w:tcW w:w="2660" w:type="dxa"/>
            <w:tcBorders>
              <w:top w:val="nil"/>
              <w:left w:val="nil"/>
              <w:bottom w:val="nil"/>
              <w:right w:val="nil"/>
            </w:tcBorders>
          </w:tcPr>
          <w:p w14:paraId="297E588B" w14:textId="77777777" w:rsidR="00DF1412" w:rsidRPr="000E6A42" w:rsidRDefault="00DF1412" w:rsidP="00C05A82">
            <w:pPr>
              <w:spacing w:line="276" w:lineRule="auto"/>
              <w:rPr>
                <w:rFonts w:cs="Arial"/>
              </w:rPr>
            </w:pPr>
          </w:p>
        </w:tc>
        <w:tc>
          <w:tcPr>
            <w:tcW w:w="6015" w:type="dxa"/>
            <w:tcBorders>
              <w:top w:val="nil"/>
              <w:left w:val="nil"/>
              <w:bottom w:val="nil"/>
              <w:right w:val="nil"/>
            </w:tcBorders>
          </w:tcPr>
          <w:p w14:paraId="6F17A6EF" w14:textId="77777777" w:rsidR="00DF1412" w:rsidRPr="000E6A42" w:rsidRDefault="00DF1412" w:rsidP="00C05A82">
            <w:pPr>
              <w:spacing w:line="276" w:lineRule="auto"/>
              <w:rPr>
                <w:rFonts w:cs="Arial"/>
              </w:rPr>
            </w:pPr>
            <w:r w:rsidRPr="000E6A42">
              <w:rPr>
                <w:rFonts w:cs="Arial"/>
              </w:rPr>
              <w:t>Ottawa, Ontario  K1A 0C9</w:t>
            </w:r>
          </w:p>
        </w:tc>
      </w:tr>
      <w:tr w:rsidR="00DF1412" w:rsidRPr="000E6A42" w14:paraId="11594FBC" w14:textId="77777777" w:rsidTr="00C05A82">
        <w:tc>
          <w:tcPr>
            <w:tcW w:w="2660" w:type="dxa"/>
            <w:tcBorders>
              <w:top w:val="nil"/>
              <w:left w:val="nil"/>
              <w:bottom w:val="nil"/>
              <w:right w:val="nil"/>
            </w:tcBorders>
          </w:tcPr>
          <w:p w14:paraId="3F90F386" w14:textId="77777777" w:rsidR="00DF1412" w:rsidRPr="000E6A42" w:rsidRDefault="00DF1412" w:rsidP="00C05A82">
            <w:pPr>
              <w:spacing w:line="276" w:lineRule="auto"/>
              <w:rPr>
                <w:rFonts w:cs="Arial"/>
              </w:rPr>
            </w:pPr>
          </w:p>
        </w:tc>
        <w:tc>
          <w:tcPr>
            <w:tcW w:w="6015" w:type="dxa"/>
            <w:tcBorders>
              <w:top w:val="nil"/>
              <w:left w:val="nil"/>
              <w:bottom w:val="nil"/>
              <w:right w:val="nil"/>
            </w:tcBorders>
          </w:tcPr>
          <w:p w14:paraId="36DB2CFA" w14:textId="77777777" w:rsidR="00DF1412" w:rsidRPr="000E6A42" w:rsidRDefault="00DF1412" w:rsidP="00C05A82">
            <w:pPr>
              <w:spacing w:line="276" w:lineRule="auto"/>
              <w:rPr>
                <w:rFonts w:cs="Arial"/>
              </w:rPr>
            </w:pPr>
            <w:r w:rsidRPr="000E6A42">
              <w:rPr>
                <w:rFonts w:cs="Arial"/>
              </w:rPr>
              <w:t>Canada</w:t>
            </w:r>
          </w:p>
        </w:tc>
      </w:tr>
      <w:tr w:rsidR="00DF1412" w:rsidRPr="000E6A42" w14:paraId="13539B38" w14:textId="77777777" w:rsidTr="00C05A82">
        <w:tc>
          <w:tcPr>
            <w:tcW w:w="2660" w:type="dxa"/>
            <w:tcBorders>
              <w:top w:val="nil"/>
              <w:left w:val="nil"/>
              <w:bottom w:val="nil"/>
              <w:right w:val="nil"/>
            </w:tcBorders>
          </w:tcPr>
          <w:p w14:paraId="2A549BC4" w14:textId="77777777" w:rsidR="00DF1412" w:rsidRPr="000E6A42" w:rsidRDefault="00DF1412" w:rsidP="00C05A82">
            <w:pPr>
              <w:spacing w:after="200" w:line="276" w:lineRule="auto"/>
              <w:rPr>
                <w:rFonts w:cs="Arial"/>
                <w:b/>
              </w:rPr>
            </w:pPr>
            <w:r w:rsidRPr="000E6A42">
              <w:rPr>
                <w:rFonts w:cs="Arial"/>
                <w:b/>
              </w:rPr>
              <w:t>Telephone:</w:t>
            </w:r>
          </w:p>
        </w:tc>
        <w:tc>
          <w:tcPr>
            <w:tcW w:w="6015" w:type="dxa"/>
            <w:tcBorders>
              <w:top w:val="nil"/>
              <w:left w:val="nil"/>
              <w:bottom w:val="nil"/>
              <w:right w:val="nil"/>
            </w:tcBorders>
          </w:tcPr>
          <w:p w14:paraId="0AE87816" w14:textId="77777777" w:rsidR="00DF1412" w:rsidRPr="000E6A42" w:rsidRDefault="00DF1412" w:rsidP="00C05A82">
            <w:pPr>
              <w:spacing w:after="200" w:line="276" w:lineRule="auto"/>
              <w:rPr>
                <w:rFonts w:cs="Arial"/>
              </w:rPr>
            </w:pPr>
            <w:r w:rsidRPr="000E6A42">
              <w:rPr>
                <w:rFonts w:cs="Arial"/>
              </w:rPr>
              <w:t>613-952-0655</w:t>
            </w:r>
          </w:p>
        </w:tc>
      </w:tr>
    </w:tbl>
    <w:p w14:paraId="71DF25DC" w14:textId="77777777" w:rsidR="00DD1F87" w:rsidRDefault="00DD1F87">
      <w:pPr>
        <w:spacing w:after="200" w:line="276" w:lineRule="auto"/>
        <w:rPr>
          <w:rFonts w:asciiTheme="majorHAnsi" w:eastAsiaTheme="majorEastAsia" w:hAnsiTheme="majorHAnsi" w:cstheme="majorBidi"/>
          <w:b/>
          <w:bCs/>
          <w:color w:val="365F91" w:themeColor="accent1" w:themeShade="BF"/>
          <w:sz w:val="32"/>
          <w:szCs w:val="28"/>
        </w:rPr>
      </w:pPr>
      <w:r>
        <w:br w:type="page"/>
      </w:r>
    </w:p>
    <w:p w14:paraId="721CA171" w14:textId="77777777" w:rsidR="00DF1412" w:rsidRDefault="00DF1412" w:rsidP="00DF1412">
      <w:pPr>
        <w:pStyle w:val="Heading1"/>
        <w:rPr>
          <w:color w:val="auto"/>
        </w:rPr>
      </w:pPr>
      <w:r w:rsidRPr="00F5797C">
        <w:rPr>
          <w:color w:val="auto"/>
        </w:rPr>
        <w:lastRenderedPageBreak/>
        <w:t>SECTION 1 – Organisation and structure for metrology</w:t>
      </w:r>
    </w:p>
    <w:p w14:paraId="4F6A66DC" w14:textId="77777777" w:rsidR="00DF1412" w:rsidRDefault="00DF1412" w:rsidP="00DF1412"/>
    <w:p w14:paraId="3FF8D4AC" w14:textId="77777777" w:rsidR="00DF1412" w:rsidRPr="001A3917" w:rsidRDefault="00DF1412" w:rsidP="00DF1412">
      <w:r w:rsidRPr="001A3917">
        <w:t>The main Federal statues governing legal metrology are the:</w:t>
      </w:r>
    </w:p>
    <w:p w14:paraId="4803A0A7" w14:textId="77777777" w:rsidR="00DF1412" w:rsidRPr="001A3917" w:rsidRDefault="00DF1412" w:rsidP="00DF1412"/>
    <w:p w14:paraId="4E36FC29" w14:textId="77777777" w:rsidR="00DF1412" w:rsidRPr="008F3AD9" w:rsidRDefault="00DF1412" w:rsidP="00DF1412">
      <w:pPr>
        <w:ind w:left="720"/>
        <w:rPr>
          <w:i/>
        </w:rPr>
      </w:pPr>
      <w:r w:rsidRPr="008F3AD9">
        <w:rPr>
          <w:i/>
        </w:rPr>
        <w:t>Weights</w:t>
      </w:r>
      <w:r>
        <w:rPr>
          <w:i/>
        </w:rPr>
        <w:t xml:space="preserve"> and Measures Act (R.S.C 1985);</w:t>
      </w:r>
    </w:p>
    <w:p w14:paraId="2E749467" w14:textId="77777777" w:rsidR="00DF1412" w:rsidRPr="008F3AD9" w:rsidRDefault="00DF1412" w:rsidP="00DF1412">
      <w:pPr>
        <w:ind w:left="720"/>
        <w:rPr>
          <w:i/>
        </w:rPr>
      </w:pPr>
      <w:r w:rsidRPr="008F3AD9">
        <w:rPr>
          <w:i/>
        </w:rPr>
        <w:t xml:space="preserve">Electricity and </w:t>
      </w:r>
      <w:r>
        <w:rPr>
          <w:i/>
        </w:rPr>
        <w:t>Gas Inspection Act (R.S.C 1985);</w:t>
      </w:r>
      <w:r w:rsidRPr="008F3AD9">
        <w:rPr>
          <w:i/>
        </w:rPr>
        <w:t xml:space="preserve"> and the </w:t>
      </w:r>
    </w:p>
    <w:p w14:paraId="496DEF49" w14:textId="77777777" w:rsidR="00DF1412" w:rsidRPr="008F3AD9" w:rsidRDefault="00DF1412" w:rsidP="00DF1412">
      <w:pPr>
        <w:ind w:left="720"/>
        <w:rPr>
          <w:i/>
        </w:rPr>
      </w:pPr>
      <w:proofErr w:type="gramStart"/>
      <w:r w:rsidRPr="008F3AD9">
        <w:rPr>
          <w:i/>
        </w:rPr>
        <w:t>Consumer Packaging an</w:t>
      </w:r>
      <w:r>
        <w:rPr>
          <w:i/>
        </w:rPr>
        <w:t>d Labelling Act (R.S.C.1985).</w:t>
      </w:r>
      <w:proofErr w:type="gramEnd"/>
    </w:p>
    <w:p w14:paraId="1981A262" w14:textId="77777777" w:rsidR="00DF1412" w:rsidRPr="001A3917" w:rsidRDefault="00DF1412" w:rsidP="00DF1412"/>
    <w:p w14:paraId="1D3F3B6E" w14:textId="77777777" w:rsidR="00DF1412" w:rsidRPr="001A3917" w:rsidRDefault="00DF1412" w:rsidP="00DF1412">
      <w:r w:rsidRPr="001A3917">
        <w:t>The government bodies responsible for the application of these acts (all part of the Department of Innovation, Science and Economic Development Canada) update and publish regulations which have legal force. These regulations are entitled the:</w:t>
      </w:r>
    </w:p>
    <w:p w14:paraId="1DD7BCC9" w14:textId="77777777" w:rsidR="00DF1412" w:rsidRPr="001A3917" w:rsidRDefault="00DF1412" w:rsidP="00DF1412"/>
    <w:p w14:paraId="78722BFB" w14:textId="77777777" w:rsidR="00DF1412" w:rsidRPr="008F3AD9" w:rsidRDefault="00DF1412" w:rsidP="00DF1412">
      <w:pPr>
        <w:ind w:left="720"/>
        <w:rPr>
          <w:i/>
        </w:rPr>
      </w:pPr>
      <w:r w:rsidRPr="008F3AD9">
        <w:rPr>
          <w:i/>
        </w:rPr>
        <w:t>Weights and Measures Regulations (1974)</w:t>
      </w:r>
      <w:r>
        <w:rPr>
          <w:i/>
        </w:rPr>
        <w:t>;</w:t>
      </w:r>
      <w:r w:rsidRPr="008F3AD9">
        <w:rPr>
          <w:i/>
        </w:rPr>
        <w:t xml:space="preserve"> </w:t>
      </w:r>
    </w:p>
    <w:p w14:paraId="4F0E2888" w14:textId="77777777" w:rsidR="00DF1412" w:rsidRPr="008F3AD9" w:rsidRDefault="00DF1412" w:rsidP="00DF1412">
      <w:pPr>
        <w:ind w:left="720"/>
        <w:rPr>
          <w:i/>
        </w:rPr>
      </w:pPr>
      <w:r w:rsidRPr="008F3AD9">
        <w:rPr>
          <w:i/>
        </w:rPr>
        <w:t>Electricity and Gas Inspection Regulations (1986)</w:t>
      </w:r>
      <w:r>
        <w:rPr>
          <w:i/>
        </w:rPr>
        <w:t>; and</w:t>
      </w:r>
    </w:p>
    <w:p w14:paraId="6D35B5E8" w14:textId="77777777" w:rsidR="00DF1412" w:rsidRPr="008F3AD9" w:rsidRDefault="00DF1412" w:rsidP="00DF1412">
      <w:pPr>
        <w:ind w:left="720"/>
        <w:rPr>
          <w:i/>
        </w:rPr>
      </w:pPr>
      <w:proofErr w:type="gramStart"/>
      <w:r w:rsidRPr="008F3AD9">
        <w:rPr>
          <w:i/>
        </w:rPr>
        <w:t>Consumer Packaging and Labelling Regulations (1985)</w:t>
      </w:r>
      <w:r>
        <w:rPr>
          <w:i/>
        </w:rPr>
        <w:t>.</w:t>
      </w:r>
      <w:proofErr w:type="gramEnd"/>
    </w:p>
    <w:p w14:paraId="40907094" w14:textId="77777777" w:rsidR="00DF1412" w:rsidRDefault="00DF1412" w:rsidP="00DF1412"/>
    <w:p w14:paraId="003BBBCE" w14:textId="77777777" w:rsidR="00DF1412" w:rsidRPr="001A3917" w:rsidRDefault="00DF1412" w:rsidP="00DF1412">
      <w:r w:rsidRPr="001A3917">
        <w:t xml:space="preserve">Measurement Canada, an agency of the federal department of Innovation, Science and Economic Development Canada, has exclusive national responsibility and authority for legal metrology activities in Canada. </w:t>
      </w:r>
    </w:p>
    <w:p w14:paraId="0EA07FBE" w14:textId="77777777" w:rsidR="00DF1412" w:rsidRPr="001A3917" w:rsidRDefault="00DF1412" w:rsidP="00DF1412"/>
    <w:p w14:paraId="3E514E74" w14:textId="77777777" w:rsidR="00DF1412" w:rsidRPr="001A3917" w:rsidRDefault="00DF1412" w:rsidP="00DF1412">
      <w:r w:rsidRPr="001A3917">
        <w:t>The agency is composed of several Directorates, including Engineering, Innovative Services, and Program Development.  The Program Development Directorate is comprised of two Divisions, the Weighing and Measuring Division and the Utility Metering Division.  The Program Development Directorate is responsible for the development of requirements and programs (this includes making legislative or regulatory amendments, developing specifications and establishing approaches for marketplace monitoring) to minimize inaccurate measurement and inequity in the trade of goods and services provided on the basis of measurement. It also establishes metrological policies and procedures for the approval, verification, re-verification, installation and use of measuring devices and establishes enforcement policies and marketplace monitoring programs.</w:t>
      </w:r>
    </w:p>
    <w:p w14:paraId="503B8359" w14:textId="77777777" w:rsidR="00DF1412" w:rsidRPr="001A3917" w:rsidRDefault="00DF1412" w:rsidP="00DF1412"/>
    <w:p w14:paraId="162ADD21" w14:textId="77777777" w:rsidR="00DF1412" w:rsidRPr="001A3917" w:rsidRDefault="00DF1412" w:rsidP="00DF1412">
      <w:r w:rsidRPr="001A3917">
        <w:t>The Engineering and Laboratory Services Directorate, besides assisting in the development of Specifications and Procedures, is responsible for the examination and approval of prototype weighing and measuring machines and prototype electricity and gas meters and metering devices used in trade. The directorate also has the responsibility to calibrate and certify measurement local standards used by government and authorized service providers.</w:t>
      </w:r>
    </w:p>
    <w:p w14:paraId="0571EEC5" w14:textId="77777777" w:rsidR="00DF1412" w:rsidRPr="001A3917" w:rsidRDefault="00DF1412" w:rsidP="00DF1412"/>
    <w:p w14:paraId="7EE19C62" w14:textId="77777777" w:rsidR="00DF1412" w:rsidRPr="001A3917" w:rsidRDefault="00DF1412" w:rsidP="00DF1412">
      <w:r w:rsidRPr="001A3917">
        <w:t xml:space="preserve">The Innovative Services Directorate is responsible for the development, implementation and review of alternative service delivery mechanisms. This includes the development of mutual recognition agreements with the United States (National Conference on Weights and Measures - NCWM) for the approval of certain prototype devices. The directorate is also responsible for industry accreditation and registration programs that delegate specified mandated inspection activities to private sector organizations (commonly known as authorized service providers) which meet Measurement Canada’s requirements. </w:t>
      </w:r>
    </w:p>
    <w:p w14:paraId="30394ADF" w14:textId="77777777" w:rsidR="00DF1412" w:rsidRPr="001A3917" w:rsidRDefault="00DF1412" w:rsidP="00DF1412"/>
    <w:p w14:paraId="20FA1CD0" w14:textId="77777777" w:rsidR="00DF1412" w:rsidRDefault="00DF1412" w:rsidP="00DF1412">
      <w:pPr>
        <w:rPr>
          <w:b/>
          <w:lang w:val="en-CA"/>
        </w:rPr>
      </w:pPr>
      <w:r w:rsidRPr="001A3917">
        <w:t xml:space="preserve">Measurement Canada fulfils its mandate through a field inspection program carried out by inspection staff located in its three Regions and 9 Districts, certification of test equipment used by industry and government inspection personnel, verifying the accuracy and appropriate usage of weighing and measuring devices used in trade, verifying the net quantity of commodities sold on the basis of measure, resolving trade measurement complaints from consumers, examination and verification of meter performance prior to use, periodically re-verifying meter performance, and performing on site verification of complex measuring systems. The regions are also responsible for administering the accreditation and registration programs, including close monitoring of authorized </w:t>
      </w:r>
      <w:r w:rsidRPr="001A3917">
        <w:lastRenderedPageBreak/>
        <w:t xml:space="preserve">service providers. Measurement Canada also investigates and arbitrates measurement disputes between the buyers and sellers of electricity and gas.  </w:t>
      </w:r>
    </w:p>
    <w:p w14:paraId="0DD6E96F" w14:textId="77777777" w:rsidR="00DF1412" w:rsidRPr="008F3AD9" w:rsidRDefault="00DF1412" w:rsidP="00DF1412">
      <w:pPr>
        <w:pStyle w:val="Heading2"/>
      </w:pPr>
      <w:r w:rsidRPr="008F3AD9">
        <w:t>USE OF ALTERNATIVE SERVICE DELIVERY MECHANISMS</w:t>
      </w:r>
    </w:p>
    <w:p w14:paraId="08C5F9C2" w14:textId="77777777" w:rsidR="00DF1412" w:rsidRPr="003B6F3F" w:rsidRDefault="00DF1412" w:rsidP="00DF1412">
      <w:pPr>
        <w:rPr>
          <w:rFonts w:cs="Arial"/>
          <w:sz w:val="20"/>
          <w:szCs w:val="20"/>
          <w:lang w:val="en-CA"/>
        </w:rPr>
      </w:pPr>
    </w:p>
    <w:p w14:paraId="2E0B2C53" w14:textId="77777777" w:rsidR="00DF1412" w:rsidRPr="003B6F3F" w:rsidRDefault="00DF1412" w:rsidP="00DF1412">
      <w:pPr>
        <w:rPr>
          <w:lang w:val="en-CA"/>
        </w:rPr>
      </w:pPr>
      <w:r w:rsidRPr="003B6F3F">
        <w:rPr>
          <w:lang w:val="en-CA"/>
        </w:rPr>
        <w:t>Alternative Service Delivery Mechanisms are used for many inspection and certification activities traditionally performed by Measurement Canada.</w:t>
      </w:r>
    </w:p>
    <w:p w14:paraId="6C03B751" w14:textId="77777777" w:rsidR="00DF1412" w:rsidRPr="003B6F3F" w:rsidRDefault="00DF1412" w:rsidP="00DF1412">
      <w:pPr>
        <w:pStyle w:val="Heading2"/>
      </w:pPr>
      <w:r w:rsidRPr="003B6F3F">
        <w:t>Accreditation and Registration Programs for Device Inspections</w:t>
      </w:r>
    </w:p>
    <w:p w14:paraId="659C8EBE" w14:textId="77777777" w:rsidR="00DF1412" w:rsidRPr="003B6F3F" w:rsidRDefault="00DF1412" w:rsidP="00DF1412">
      <w:pPr>
        <w:rPr>
          <w:rFonts w:cs="Arial"/>
          <w:sz w:val="20"/>
          <w:szCs w:val="20"/>
          <w:lang w:val="en-CA"/>
        </w:rPr>
      </w:pPr>
    </w:p>
    <w:p w14:paraId="421CF3A7" w14:textId="77777777" w:rsidR="00DF1412" w:rsidRPr="003B6F3F" w:rsidRDefault="00DF1412" w:rsidP="00DF1412">
      <w:pPr>
        <w:rPr>
          <w:lang w:val="en-CA"/>
        </w:rPr>
      </w:pPr>
      <w:r w:rsidRPr="003B6F3F">
        <w:rPr>
          <w:lang w:val="en-CA"/>
        </w:rPr>
        <w:t xml:space="preserve">Measurement Canada has two programs that permit other organizations to inspect and certify measuring devices under the authority of the </w:t>
      </w:r>
      <w:r w:rsidRPr="008F3AD9">
        <w:rPr>
          <w:i/>
          <w:lang w:val="en-CA"/>
        </w:rPr>
        <w:t>Weights and Measures Act</w:t>
      </w:r>
      <w:r w:rsidRPr="003B6F3F">
        <w:rPr>
          <w:lang w:val="en-CA"/>
        </w:rPr>
        <w:t xml:space="preserve"> or the </w:t>
      </w:r>
      <w:r w:rsidRPr="008F3AD9">
        <w:rPr>
          <w:i/>
          <w:lang w:val="en-CA"/>
        </w:rPr>
        <w:t>Electricity and Gas Inspection Act</w:t>
      </w:r>
      <w:r w:rsidRPr="003B6F3F">
        <w:rPr>
          <w:lang w:val="en-CA"/>
        </w:rPr>
        <w:t>.</w:t>
      </w:r>
    </w:p>
    <w:p w14:paraId="6BBC2555" w14:textId="77777777" w:rsidR="00DF1412" w:rsidRPr="003B6F3F" w:rsidRDefault="00DF1412" w:rsidP="00DF1412">
      <w:pPr>
        <w:rPr>
          <w:lang w:val="en-CA"/>
        </w:rPr>
      </w:pPr>
    </w:p>
    <w:p w14:paraId="2BF11BA7" w14:textId="77777777" w:rsidR="00DF1412" w:rsidRPr="003B6F3F" w:rsidRDefault="00DF1412" w:rsidP="00DF1412">
      <w:pPr>
        <w:rPr>
          <w:lang w:val="en-CA"/>
        </w:rPr>
      </w:pPr>
      <w:r w:rsidRPr="003B6F3F">
        <w:rPr>
          <w:lang w:val="en-CA"/>
        </w:rPr>
        <w:t xml:space="preserve">The Accreditation Program was launched in 1986 for Electricity and Gas organizations and was expanded in 1995 to include Weights and Measures organizations. An accredited organization must document, establish and maintain a quality management system which meets the requirements of Measurement Canada’s accreditation standard, S-A-01 - Criteria for the Accreditation of Organizations to Perform Inspections Pursuant to the </w:t>
      </w:r>
      <w:r w:rsidRPr="008F3AD9">
        <w:rPr>
          <w:i/>
          <w:lang w:val="en-CA"/>
        </w:rPr>
        <w:t>Electricity and Gas Inspection Act</w:t>
      </w:r>
      <w:r w:rsidRPr="003B6F3F">
        <w:rPr>
          <w:lang w:val="en-CA"/>
        </w:rPr>
        <w:t xml:space="preserve"> and the </w:t>
      </w:r>
      <w:r w:rsidRPr="008F3AD9">
        <w:rPr>
          <w:i/>
          <w:lang w:val="en-CA"/>
        </w:rPr>
        <w:t>Weights and Measures Act</w:t>
      </w:r>
      <w:r w:rsidRPr="003B6F3F">
        <w:rPr>
          <w:lang w:val="en-CA"/>
        </w:rPr>
        <w:t xml:space="preserve">. These requirements are modelled after the ISO 9001 standard. In addition, technicians in Weights and Measures accredited organizations must pass mandatory theoretical and practical evaluations. </w:t>
      </w:r>
    </w:p>
    <w:p w14:paraId="5BBE8D30" w14:textId="77777777" w:rsidR="00DF1412" w:rsidRPr="003B6F3F" w:rsidRDefault="00DF1412" w:rsidP="00DF1412">
      <w:pPr>
        <w:rPr>
          <w:lang w:val="en-CA"/>
        </w:rPr>
      </w:pPr>
    </w:p>
    <w:p w14:paraId="383B5B21" w14:textId="77777777" w:rsidR="00DF1412" w:rsidRPr="003B6F3F" w:rsidRDefault="00DF1412" w:rsidP="00DF1412">
      <w:pPr>
        <w:rPr>
          <w:lang w:val="en-CA"/>
        </w:rPr>
      </w:pPr>
      <w:r w:rsidRPr="003B6F3F">
        <w:rPr>
          <w:lang w:val="en-CA"/>
        </w:rPr>
        <w:t>Organizations accredited by Measurement Canada are not limited in terms of which trade sectors they can offer their inspection services in. An accredited organization can certify any device under the scope of its accreditation regardless of the sector that the device is used in. To ensure compliance, the quality management system established by an accredited organization is subject to an annual surveillance and product audit by Measurement Canada.</w:t>
      </w:r>
    </w:p>
    <w:p w14:paraId="5823E205" w14:textId="77777777" w:rsidR="00DF1412" w:rsidRPr="003B6F3F" w:rsidRDefault="00DF1412" w:rsidP="00DF1412">
      <w:pPr>
        <w:rPr>
          <w:lang w:val="en-CA"/>
        </w:rPr>
      </w:pPr>
    </w:p>
    <w:p w14:paraId="73A2BC45" w14:textId="77777777" w:rsidR="00DF1412" w:rsidRPr="003B6F3F" w:rsidRDefault="00DF1412" w:rsidP="00DF1412">
      <w:pPr>
        <w:rPr>
          <w:lang w:val="en-CA"/>
        </w:rPr>
      </w:pPr>
      <w:r w:rsidRPr="003B6F3F">
        <w:rPr>
          <w:lang w:val="en-CA"/>
        </w:rPr>
        <w:t xml:space="preserve">The Registration Program was launched for Weights and Measures organizations in April 2004. This program also authorizes organizations to inspect and certify measuring instruments under the </w:t>
      </w:r>
      <w:r w:rsidRPr="008F3AD9">
        <w:rPr>
          <w:lang w:val="en-CA"/>
        </w:rPr>
        <w:t xml:space="preserve">authority of the </w:t>
      </w:r>
      <w:r w:rsidRPr="008F3AD9">
        <w:rPr>
          <w:i/>
          <w:lang w:val="en-CA"/>
        </w:rPr>
        <w:t>Weights and Measures Act</w:t>
      </w:r>
      <w:r w:rsidRPr="008F3AD9">
        <w:rPr>
          <w:lang w:val="en-CA"/>
        </w:rPr>
        <w:t>. Initially, stakeholders in the downstream petroleum sector, including vulnerable parties, asked for the development and implementation of such a program. The Registration Program has since been expanded to include other sectors of the economy. The Registration Program is offered only following a consensus of the stakeholders of a given trade sector. The program scope is limited to the inspection of measurement equipment used in the trade sectors identified in</w:t>
      </w:r>
      <w:r w:rsidRPr="003B6F3F">
        <w:rPr>
          <w:lang w:val="en-CA"/>
        </w:rPr>
        <w:t xml:space="preserve"> the Registration Terms and Conditions. These Terms and Conditions also stipulate the requirements to be met by organizations seeking registration.</w:t>
      </w:r>
    </w:p>
    <w:p w14:paraId="451D96D5" w14:textId="77777777" w:rsidR="00DF1412" w:rsidRPr="003B6F3F" w:rsidRDefault="00DF1412" w:rsidP="00DF1412">
      <w:pPr>
        <w:rPr>
          <w:lang w:val="en-CA"/>
        </w:rPr>
      </w:pPr>
    </w:p>
    <w:p w14:paraId="1B303549" w14:textId="77777777" w:rsidR="00DF1412" w:rsidRPr="003B6F3F" w:rsidRDefault="00DF1412" w:rsidP="00DF1412">
      <w:pPr>
        <w:rPr>
          <w:lang w:val="en-CA"/>
        </w:rPr>
      </w:pPr>
      <w:r w:rsidRPr="003B6F3F">
        <w:rPr>
          <w:lang w:val="en-CA"/>
        </w:rPr>
        <w:t>Organizations registered by Measurement Canada must have its technicians attend and successfully complete the mandatory Measurement Canada theoretical training. All potential recognized technicians must successfully pass theoretical and practical evaluations by Measurement Canada prior to becoming recognized. In addition, as there is no requirement for the implementation of a quality management system in the Registration Program, there is more frequent Measurement Canada monitoring of recognized technicians working for registered organizations than there is for recognized technicians working for accredited organizations.</w:t>
      </w:r>
    </w:p>
    <w:p w14:paraId="2378E513" w14:textId="77777777" w:rsidR="00DF1412" w:rsidRPr="003B6F3F" w:rsidRDefault="00DF1412" w:rsidP="00DF1412">
      <w:pPr>
        <w:rPr>
          <w:lang w:val="en-CA"/>
        </w:rPr>
      </w:pPr>
    </w:p>
    <w:p w14:paraId="6FF8BC2D" w14:textId="77777777" w:rsidR="00DF1412" w:rsidRPr="003B6F3F" w:rsidRDefault="00DF1412" w:rsidP="00DF1412">
      <w:pPr>
        <w:rPr>
          <w:lang w:val="en-CA"/>
        </w:rPr>
      </w:pPr>
      <w:r w:rsidRPr="003B6F3F">
        <w:rPr>
          <w:lang w:val="en-CA"/>
        </w:rPr>
        <w:t>Both the Accreditation and Registration Programs are open to organizations in Canada, the United States, and Mexico.</w:t>
      </w:r>
    </w:p>
    <w:p w14:paraId="345805FB" w14:textId="77777777" w:rsidR="00DF1412" w:rsidRPr="003B6F3F" w:rsidRDefault="00DF1412" w:rsidP="00DF1412">
      <w:pPr>
        <w:rPr>
          <w:lang w:val="en-CA"/>
        </w:rPr>
      </w:pPr>
    </w:p>
    <w:p w14:paraId="2FEA3CC9" w14:textId="77777777" w:rsidR="00DF1412" w:rsidRPr="003B6F3F" w:rsidRDefault="00DF1412" w:rsidP="00DF1412">
      <w:pPr>
        <w:rPr>
          <w:lang w:val="en-CA"/>
        </w:rPr>
      </w:pPr>
      <w:r w:rsidRPr="003B6F3F">
        <w:rPr>
          <w:lang w:val="en-CA"/>
        </w:rPr>
        <w:t>Delegation of Authorities Program for Measuring Apparatus and Test Equipment Calibration</w:t>
      </w:r>
    </w:p>
    <w:p w14:paraId="482AB340" w14:textId="77777777" w:rsidR="00DF1412" w:rsidRPr="003B6F3F" w:rsidRDefault="00DF1412" w:rsidP="00DF1412">
      <w:pPr>
        <w:rPr>
          <w:lang w:val="en-CA"/>
        </w:rPr>
      </w:pPr>
      <w:r w:rsidRPr="003B6F3F">
        <w:rPr>
          <w:lang w:val="en-CA"/>
        </w:rPr>
        <w:t xml:space="preserve">In May 2003, Measurement Canada launched a program permitting the calibration by other organization of certain measuring apparatus and test equipment utilized under the </w:t>
      </w:r>
      <w:r w:rsidRPr="008F3AD9">
        <w:rPr>
          <w:i/>
          <w:lang w:val="en-CA"/>
        </w:rPr>
        <w:t xml:space="preserve">Electricity and </w:t>
      </w:r>
      <w:r w:rsidRPr="008F3AD9">
        <w:rPr>
          <w:i/>
          <w:lang w:val="en-CA"/>
        </w:rPr>
        <w:lastRenderedPageBreak/>
        <w:t>Gas Inspection Act</w:t>
      </w:r>
      <w:r w:rsidRPr="003B6F3F">
        <w:rPr>
          <w:lang w:val="en-CA"/>
        </w:rPr>
        <w:t xml:space="preserve">. The present scope of this program applies to the calibration and re-certification of electricity meter calibration consoles and the calibration and certification of pressure, temperature and dimensional standards used in the natural gas sector.  Program requirements are established in C-D-01 - Conditions for the Delegation of Authority for the Calibration and Certification of Measuring Apparatus and Test Equipment Pursuant to the </w:t>
      </w:r>
      <w:r w:rsidRPr="008F3AD9">
        <w:rPr>
          <w:i/>
          <w:lang w:val="en-CA"/>
        </w:rPr>
        <w:t>Electricity and Gas Inspection Act</w:t>
      </w:r>
      <w:r w:rsidRPr="003B6F3F">
        <w:rPr>
          <w:lang w:val="en-CA"/>
        </w:rPr>
        <w:t>.</w:t>
      </w:r>
    </w:p>
    <w:p w14:paraId="1E3F404C" w14:textId="77777777" w:rsidR="00DF1412" w:rsidRPr="000E6A42" w:rsidRDefault="00DF1412" w:rsidP="00DF1412">
      <w:pPr>
        <w:pStyle w:val="Heading2"/>
      </w:pPr>
      <w:r w:rsidRPr="000E6A42">
        <w:t>Recognition of ISO 17025 Laboratories</w:t>
      </w:r>
    </w:p>
    <w:p w14:paraId="7B92605F" w14:textId="77777777" w:rsidR="00DF1412" w:rsidRPr="000E6A42" w:rsidRDefault="00DF1412" w:rsidP="00DF1412">
      <w:pPr>
        <w:rPr>
          <w:rFonts w:cs="Arial"/>
          <w:lang w:val="en-CA"/>
        </w:rPr>
      </w:pPr>
    </w:p>
    <w:p w14:paraId="398828A1" w14:textId="77777777" w:rsidR="00DF1412" w:rsidRPr="000E6A42" w:rsidRDefault="00DF1412" w:rsidP="00DF1412">
      <w:pPr>
        <w:rPr>
          <w:rFonts w:cs="Arial"/>
          <w:lang w:val="en-CA"/>
        </w:rPr>
      </w:pPr>
      <w:r w:rsidRPr="000E6A42">
        <w:rPr>
          <w:rFonts w:cs="Arial"/>
          <w:lang w:val="en-CA"/>
        </w:rPr>
        <w:t>Two other alternative service delivery mechanisms exist as follows:</w:t>
      </w:r>
    </w:p>
    <w:p w14:paraId="378B7597" w14:textId="77777777" w:rsidR="00DF1412" w:rsidRPr="000E6A42" w:rsidRDefault="00DF1412" w:rsidP="00DF1412">
      <w:pPr>
        <w:rPr>
          <w:rFonts w:cs="Arial"/>
          <w:lang w:val="en-CA"/>
        </w:rPr>
      </w:pPr>
    </w:p>
    <w:p w14:paraId="7C2AF82B" w14:textId="77777777" w:rsidR="00DF1412" w:rsidRPr="000E6A42" w:rsidRDefault="00DF1412" w:rsidP="00DF1412">
      <w:pPr>
        <w:pStyle w:val="ListParagraph"/>
        <w:numPr>
          <w:ilvl w:val="0"/>
          <w:numId w:val="14"/>
        </w:numPr>
        <w:spacing w:before="120" w:after="120"/>
        <w:ind w:left="714" w:hanging="357"/>
        <w:contextualSpacing w:val="0"/>
        <w:rPr>
          <w:rFonts w:cs="Arial"/>
          <w:lang w:val="en-CA"/>
        </w:rPr>
      </w:pPr>
      <w:r w:rsidRPr="000E6A42">
        <w:rPr>
          <w:rFonts w:cs="Arial"/>
          <w:lang w:val="en-CA"/>
        </w:rPr>
        <w:t xml:space="preserve">RC-01 - Conditions and Administrative Requirements for the Recognition Program of Calibration Results from CLAS Laboratories, which sets out the conditions and requirements to be met by ISO 17025 CLAS Laboratories to have their calibration results for mass and temperature standards recognized by Measurement Canada in order to be certified pursuant to the </w:t>
      </w:r>
      <w:r w:rsidRPr="000E6A42">
        <w:rPr>
          <w:rFonts w:cs="Arial"/>
          <w:i/>
          <w:lang w:val="en-CA"/>
        </w:rPr>
        <w:t>Weights and Measures Act</w:t>
      </w:r>
      <w:r w:rsidRPr="000E6A42">
        <w:rPr>
          <w:rFonts w:cs="Arial"/>
          <w:lang w:val="en-CA"/>
        </w:rPr>
        <w:t>. Section 7.1 below describes the CLAS program.</w:t>
      </w:r>
    </w:p>
    <w:p w14:paraId="177F936B" w14:textId="77777777" w:rsidR="00DF1412" w:rsidRPr="000E6A42" w:rsidRDefault="00DF1412" w:rsidP="00DF1412">
      <w:pPr>
        <w:pStyle w:val="ListParagraph"/>
        <w:numPr>
          <w:ilvl w:val="0"/>
          <w:numId w:val="14"/>
        </w:numPr>
        <w:spacing w:before="120" w:after="120"/>
        <w:ind w:left="714" w:hanging="357"/>
        <w:contextualSpacing w:val="0"/>
        <w:rPr>
          <w:rFonts w:cs="Arial"/>
          <w:lang w:val="en-CA"/>
        </w:rPr>
      </w:pPr>
      <w:r w:rsidRPr="000E6A42">
        <w:rPr>
          <w:rFonts w:cs="Arial"/>
          <w:lang w:val="en-CA"/>
        </w:rPr>
        <w:t>RT-01 - Conditions and Administrative Requirements for the Recognition of Test Results from ISO 17025 Accredited Test Facilities, which permits the recognition of test results from ISO 17025 accredited test facilities, for the testing of previously approved electricity meters which have been modified and are being re-submitted for approval purposes.</w:t>
      </w:r>
    </w:p>
    <w:p w14:paraId="5748959B" w14:textId="7F0611EB" w:rsidR="007D2569" w:rsidRDefault="007D2569" w:rsidP="007D2569">
      <w:pPr>
        <w:pStyle w:val="Heading1"/>
        <w:rPr>
          <w:color w:val="auto"/>
        </w:rPr>
      </w:pPr>
      <w:r w:rsidRPr="00F5797C">
        <w:rPr>
          <w:color w:val="auto"/>
        </w:rPr>
        <w:t>SECTION 2 – Key activities of 201</w:t>
      </w:r>
      <w:r>
        <w:rPr>
          <w:color w:val="auto"/>
        </w:rPr>
        <w:t>6/17</w:t>
      </w:r>
    </w:p>
    <w:p w14:paraId="16A05046" w14:textId="77777777" w:rsidR="007D2569" w:rsidRPr="008F3AD9" w:rsidRDefault="007D2569" w:rsidP="007D2569"/>
    <w:p w14:paraId="1F3455AA" w14:textId="77777777" w:rsidR="007D2569" w:rsidRPr="000E6A42" w:rsidRDefault="007D2569" w:rsidP="007D2569">
      <w:pPr>
        <w:pStyle w:val="Heading2"/>
      </w:pPr>
      <w:r w:rsidRPr="000E6A42">
        <w:t>Implementation of Legislative and Regulatory Amendments - Mandatory Inspections and Compliance and Enforcement</w:t>
      </w:r>
    </w:p>
    <w:p w14:paraId="35C71221" w14:textId="77777777" w:rsidR="007D2569" w:rsidRPr="001F0012" w:rsidRDefault="007D2569" w:rsidP="007D2569">
      <w:pPr>
        <w:rPr>
          <w:rFonts w:cs="Arial"/>
          <w:sz w:val="20"/>
          <w:szCs w:val="20"/>
          <w:lang w:val="en-CA"/>
        </w:rPr>
      </w:pPr>
    </w:p>
    <w:p w14:paraId="310F5EBF" w14:textId="48A16EAD" w:rsidR="007D2569" w:rsidRPr="000E6A42" w:rsidRDefault="007D2569" w:rsidP="007D2569">
      <w:pPr>
        <w:rPr>
          <w:rFonts w:cs="Arial"/>
          <w:lang w:val="en-CA"/>
        </w:rPr>
      </w:pPr>
      <w:r w:rsidRPr="000E6A42">
        <w:rPr>
          <w:rFonts w:cs="Arial"/>
          <w:lang w:val="en-CA"/>
        </w:rPr>
        <w:t xml:space="preserve">Amendments to the </w:t>
      </w:r>
      <w:r w:rsidRPr="000E6A42">
        <w:rPr>
          <w:rFonts w:cs="Arial"/>
          <w:i/>
          <w:lang w:val="en-CA"/>
        </w:rPr>
        <w:t>Weights and Measures Act</w:t>
      </w:r>
      <w:r w:rsidRPr="000E6A42">
        <w:rPr>
          <w:rFonts w:cs="Arial"/>
          <w:lang w:val="en-CA"/>
        </w:rPr>
        <w:t xml:space="preserve"> and regulations came into effect on August 1, 2014, establishing mandatory inspections in eight sectors of the marketplace: retail petroleum, retail food, dairy, downstream petroleum, fishing, forestry, grain and field crops, and mining.  Since the coming into force of these provisions the number of inspections in the marketplace has increased almost </w:t>
      </w:r>
      <w:r w:rsidR="0079179C">
        <w:rPr>
          <w:rFonts w:cs="Arial"/>
          <w:lang w:val="en-CA"/>
        </w:rPr>
        <w:t>fourfold</w:t>
      </w:r>
      <w:r w:rsidR="0079179C" w:rsidRPr="000E6A42">
        <w:rPr>
          <w:rFonts w:cs="Arial"/>
          <w:lang w:val="en-CA"/>
        </w:rPr>
        <w:t xml:space="preserve"> </w:t>
      </w:r>
      <w:r w:rsidRPr="000E6A42">
        <w:rPr>
          <w:rFonts w:cs="Arial"/>
          <w:lang w:val="en-CA"/>
        </w:rPr>
        <w:t xml:space="preserve">to </w:t>
      </w:r>
      <w:proofErr w:type="gramStart"/>
      <w:r w:rsidR="0079179C">
        <w:rPr>
          <w:rFonts w:cs="Arial"/>
          <w:lang w:val="en-CA"/>
        </w:rPr>
        <w:t xml:space="preserve">approximately </w:t>
      </w:r>
      <w:r w:rsidRPr="000E6A42">
        <w:rPr>
          <w:rFonts w:cs="Arial"/>
          <w:lang w:val="en-CA"/>
        </w:rPr>
        <w:t xml:space="preserve"> </w:t>
      </w:r>
      <w:r w:rsidR="0079179C">
        <w:rPr>
          <w:rFonts w:cs="Arial"/>
          <w:lang w:val="en-CA"/>
        </w:rPr>
        <w:t>160,000</w:t>
      </w:r>
      <w:proofErr w:type="gramEnd"/>
      <w:r w:rsidRPr="000E6A42">
        <w:rPr>
          <w:rFonts w:cs="Arial"/>
          <w:lang w:val="en-CA"/>
        </w:rPr>
        <w:t xml:space="preserve"> inspections per year. </w:t>
      </w:r>
    </w:p>
    <w:p w14:paraId="35B2884C" w14:textId="77777777" w:rsidR="007D2569" w:rsidRPr="000E6A42" w:rsidRDefault="007D2569" w:rsidP="007D2569">
      <w:pPr>
        <w:rPr>
          <w:rFonts w:cs="Arial"/>
          <w:lang w:val="en-CA"/>
        </w:rPr>
      </w:pPr>
    </w:p>
    <w:p w14:paraId="1D23AD51" w14:textId="30376D88" w:rsidR="007D2569" w:rsidRPr="000E6A42" w:rsidRDefault="007D2569" w:rsidP="007D2569">
      <w:pPr>
        <w:rPr>
          <w:rFonts w:cs="Arial"/>
        </w:rPr>
      </w:pPr>
      <w:r w:rsidRPr="000E6A42">
        <w:rPr>
          <w:rFonts w:cs="Arial"/>
        </w:rPr>
        <w:t xml:space="preserve">Measurement Canada’s priority has been to implement the mandatory inspection frequencies and ensure that measuring device owners are educated regarding their new legal obligation to have their devices regularly inspected. This priority will do more to contribute to a fair, efficient and competitive marketplace by causing measurement issues to be detected and corrected. A pilot project to promote compliance in instances where non-approved devices are being used for trade measurement purposes was established and implemented in early 2016. This pilot project </w:t>
      </w:r>
      <w:r w:rsidR="0079179C">
        <w:rPr>
          <w:rFonts w:cs="Arial"/>
        </w:rPr>
        <w:t>has been</w:t>
      </w:r>
      <w:r w:rsidR="0079179C" w:rsidRPr="000E6A42">
        <w:rPr>
          <w:rFonts w:cs="Arial"/>
        </w:rPr>
        <w:t xml:space="preserve"> </w:t>
      </w:r>
      <w:r w:rsidRPr="000E6A42">
        <w:rPr>
          <w:rFonts w:cs="Arial"/>
        </w:rPr>
        <w:t>used to</w:t>
      </w:r>
      <w:r w:rsidR="0079179C">
        <w:rPr>
          <w:rFonts w:cs="Arial"/>
        </w:rPr>
        <w:t xml:space="preserve"> address instances where non approved devise had been used for trade measurement transactions.</w:t>
      </w:r>
      <w:r w:rsidRPr="000E6A42">
        <w:rPr>
          <w:rFonts w:cs="Arial"/>
        </w:rPr>
        <w:t xml:space="preserve"> </w:t>
      </w:r>
      <w:r w:rsidR="0079179C">
        <w:rPr>
          <w:rFonts w:cs="Arial"/>
        </w:rPr>
        <w:t xml:space="preserve"> </w:t>
      </w:r>
      <w:r w:rsidR="006652B7">
        <w:rPr>
          <w:rFonts w:cs="Arial"/>
        </w:rPr>
        <w:t>Measurement Canada has recently expanded the use of Administrative Monetary Penalties to address situations where traders have not had their devices recertified within the timeframe established in the Weights and Measures regulations. Measurement Canada will continue to roll out use of Administrative Monetary Penalties in the coming months.</w:t>
      </w:r>
    </w:p>
    <w:p w14:paraId="7CBCD0DE" w14:textId="77777777" w:rsidR="007D2569" w:rsidRPr="000E6A42" w:rsidRDefault="007D2569" w:rsidP="007D2569">
      <w:pPr>
        <w:rPr>
          <w:rFonts w:cs="Arial"/>
        </w:rPr>
      </w:pPr>
    </w:p>
    <w:p w14:paraId="72A5C9AF" w14:textId="77777777" w:rsidR="007D2569" w:rsidRDefault="007D2569" w:rsidP="007D2569">
      <w:pPr>
        <w:pStyle w:val="Heading2"/>
      </w:pPr>
      <w:r w:rsidRPr="001F0012">
        <w:t xml:space="preserve">Authorized Service Providers for device inspections </w:t>
      </w:r>
    </w:p>
    <w:p w14:paraId="5D373423" w14:textId="77777777" w:rsidR="007D2569" w:rsidRPr="005E5767" w:rsidRDefault="007D2569" w:rsidP="007D2569">
      <w:pPr>
        <w:rPr>
          <w:lang w:val="en-CA" w:eastAsia="en-CA"/>
        </w:rPr>
      </w:pPr>
    </w:p>
    <w:p w14:paraId="29D7FC68" w14:textId="143FC8D2" w:rsidR="007D2569" w:rsidRPr="000E6A42" w:rsidRDefault="007D2569" w:rsidP="007D2569">
      <w:pPr>
        <w:rPr>
          <w:rFonts w:cs="Arial"/>
          <w:lang w:eastAsia="en-CA"/>
        </w:rPr>
      </w:pPr>
      <w:r w:rsidRPr="000E6A42">
        <w:rPr>
          <w:rFonts w:cs="Arial"/>
          <w:lang w:val="en-CA" w:eastAsia="en-CA"/>
        </w:rPr>
        <w:t>Measurement Canada relies heavily on the use of Alternative Service Delivery in order to fulfill its mandate. As of August 31, 201</w:t>
      </w:r>
      <w:r w:rsidR="00487750">
        <w:rPr>
          <w:rFonts w:cs="Arial"/>
          <w:lang w:val="en-CA" w:eastAsia="en-CA"/>
        </w:rPr>
        <w:t>7</w:t>
      </w:r>
      <w:r w:rsidRPr="000E6A42">
        <w:rPr>
          <w:rFonts w:cs="Arial"/>
          <w:lang w:val="en-CA" w:eastAsia="en-CA"/>
        </w:rPr>
        <w:t xml:space="preserve">, there were </w:t>
      </w:r>
      <w:r w:rsidR="0079179C">
        <w:rPr>
          <w:rFonts w:cs="Arial"/>
          <w:lang w:val="en-CA" w:eastAsia="en-CA"/>
        </w:rPr>
        <w:t>239</w:t>
      </w:r>
      <w:r w:rsidR="0079179C" w:rsidRPr="000E6A42">
        <w:rPr>
          <w:rFonts w:cs="Arial"/>
          <w:lang w:val="en-CA" w:eastAsia="en-CA"/>
        </w:rPr>
        <w:t xml:space="preserve"> </w:t>
      </w:r>
      <w:r w:rsidRPr="000E6A42">
        <w:rPr>
          <w:rFonts w:cs="Arial"/>
          <w:lang w:val="en-CA" w:eastAsia="en-CA"/>
        </w:rPr>
        <w:t>organizations authorized to perform inspections of mass, volume, electricity and natural gas measuring devices on behalf of Measurement Canada (MC).</w:t>
      </w:r>
    </w:p>
    <w:p w14:paraId="5DFAE584" w14:textId="77777777" w:rsidR="007D2569" w:rsidRPr="000E6A42" w:rsidRDefault="007D2569" w:rsidP="007D2569">
      <w:pPr>
        <w:spacing w:before="100" w:after="100"/>
        <w:rPr>
          <w:rFonts w:cs="Arial"/>
          <w:lang w:val="en-CA" w:eastAsia="en-CA"/>
        </w:rPr>
      </w:pPr>
      <w:r w:rsidRPr="000E6A42">
        <w:rPr>
          <w:rFonts w:cs="Arial"/>
          <w:lang w:val="en-CA" w:eastAsia="en-CA"/>
        </w:rPr>
        <w:t>The majority of these organizations are located across Canada but 9 are located in the United States and Mexico. All authorized organizations were closely monitored and subject to audits and follow up inspections.</w:t>
      </w:r>
    </w:p>
    <w:p w14:paraId="4A9C9E22" w14:textId="77777777" w:rsidR="007D2569" w:rsidRDefault="007D2569" w:rsidP="007D2569">
      <w:pPr>
        <w:rPr>
          <w:rFonts w:cs="Arial"/>
          <w:b/>
          <w:bCs/>
          <w:sz w:val="20"/>
          <w:szCs w:val="20"/>
          <w:lang w:val="en-CA" w:eastAsia="en-CA"/>
        </w:rPr>
      </w:pPr>
    </w:p>
    <w:p w14:paraId="756B5D0F" w14:textId="77777777" w:rsidR="007D2569" w:rsidRPr="000E6A42" w:rsidRDefault="007D2569" w:rsidP="007D2569">
      <w:pPr>
        <w:pStyle w:val="Heading2"/>
      </w:pPr>
      <w:r w:rsidRPr="000E6A42">
        <w:t>Timber Dimensional Measuring Devices (TDMD)</w:t>
      </w:r>
    </w:p>
    <w:p w14:paraId="32DDF911" w14:textId="77777777" w:rsidR="007D2569" w:rsidRPr="001F0012" w:rsidRDefault="007D2569" w:rsidP="007D2569">
      <w:pPr>
        <w:rPr>
          <w:rFonts w:cs="Arial"/>
          <w:b/>
          <w:bCs/>
          <w:sz w:val="20"/>
          <w:szCs w:val="20"/>
          <w:lang w:val="en-CA" w:eastAsia="en-CA"/>
        </w:rPr>
      </w:pPr>
    </w:p>
    <w:p w14:paraId="08A8DB51" w14:textId="26744633" w:rsidR="007D2569" w:rsidRPr="000E6A42" w:rsidRDefault="007D2569" w:rsidP="007D2569">
      <w:pPr>
        <w:rPr>
          <w:rFonts w:cs="Arial"/>
          <w:lang w:val="en-CA" w:eastAsia="en-CA"/>
        </w:rPr>
      </w:pPr>
      <w:r w:rsidRPr="000E6A42">
        <w:rPr>
          <w:rFonts w:cs="Arial"/>
          <w:lang w:val="en-CA" w:eastAsia="en-CA"/>
        </w:rPr>
        <w:t xml:space="preserve">Measurement Canada (MC) published the Terms and Condition (T&amp;C) for the Evaluation of Timber Dimension Measuring Devices (TDMD) in the early summer of 2014. The first TDMD </w:t>
      </w:r>
      <w:r w:rsidRPr="000E6A42">
        <w:rPr>
          <w:rFonts w:cs="Arial"/>
          <w:color w:val="000000" w:themeColor="text1"/>
        </w:rPr>
        <w:t xml:space="preserve">technology was approved for use in Canada in December 2015.  </w:t>
      </w:r>
      <w:r w:rsidR="007A7484">
        <w:rPr>
          <w:rFonts w:cs="Arial"/>
          <w:color w:val="000000" w:themeColor="text1"/>
        </w:rPr>
        <w:t>L</w:t>
      </w:r>
      <w:r w:rsidRPr="000E6A42">
        <w:rPr>
          <w:rFonts w:cs="Arial"/>
          <w:color w:val="000000" w:themeColor="text1"/>
        </w:rPr>
        <w:t>og scanning technology has the potential to revolutionize the measurement of timber in the forestry industry and improve the measurement accuracy of this increasingly scare and precious resource.</w:t>
      </w:r>
      <w:r w:rsidR="007A7484">
        <w:rPr>
          <w:rFonts w:cs="Arial"/>
          <w:color w:val="000000" w:themeColor="text1"/>
        </w:rPr>
        <w:t xml:space="preserve"> There are currently two additional device manufacturers seeking approval for log scanning devices. </w:t>
      </w:r>
    </w:p>
    <w:p w14:paraId="50F2799B" w14:textId="77777777" w:rsidR="007D2569" w:rsidRDefault="007D2569" w:rsidP="007D2569">
      <w:pPr>
        <w:rPr>
          <w:lang w:val="en-CA"/>
        </w:rPr>
      </w:pPr>
    </w:p>
    <w:p w14:paraId="53DD2E44" w14:textId="55B5CB66" w:rsidR="007A7484" w:rsidRDefault="007D2569" w:rsidP="007D2569">
      <w:pPr>
        <w:pStyle w:val="Heading2"/>
      </w:pPr>
      <w:r w:rsidRPr="00112B86">
        <w:t>201</w:t>
      </w:r>
      <w:r w:rsidR="007A7484">
        <w:t>7</w:t>
      </w:r>
      <w:r w:rsidRPr="00112B86">
        <w:t xml:space="preserve"> OIML Activities: </w:t>
      </w:r>
    </w:p>
    <w:p w14:paraId="01301E95" w14:textId="6744CD47" w:rsidR="007D2569" w:rsidRPr="004831B4" w:rsidRDefault="007D2569" w:rsidP="007D2569">
      <w:pPr>
        <w:pStyle w:val="Heading2"/>
      </w:pPr>
      <w:r w:rsidRPr="004831B4">
        <w:t>Electricity Meters TC 12 – R46</w:t>
      </w:r>
    </w:p>
    <w:p w14:paraId="2E11E37E" w14:textId="77777777" w:rsidR="007D2569" w:rsidRPr="00112B86" w:rsidRDefault="007D2569" w:rsidP="007D2569">
      <w:pPr>
        <w:rPr>
          <w:lang w:val="en-CA"/>
        </w:rPr>
      </w:pPr>
    </w:p>
    <w:p w14:paraId="7F511670" w14:textId="3A48DCB9" w:rsidR="007D2569" w:rsidRPr="00112B86" w:rsidRDefault="007D2569" w:rsidP="007D2569">
      <w:pPr>
        <w:rPr>
          <w:lang w:val="en-CA"/>
        </w:rPr>
      </w:pPr>
      <w:r w:rsidRPr="00112B86">
        <w:rPr>
          <w:lang w:val="en-CA"/>
        </w:rPr>
        <w:t xml:space="preserve">Measurement Canada is in the process of updating existing electricity meter approval specifications, in part to adapt R 46 requirements, but as well to address various other legal metrology issues pertaining to the Canadian electricity marketplace. </w:t>
      </w:r>
      <w:r>
        <w:rPr>
          <w:lang w:val="en-CA"/>
        </w:rPr>
        <w:t>This includes investigating</w:t>
      </w:r>
      <w:r w:rsidRPr="00112B86">
        <w:rPr>
          <w:lang w:val="en-CA"/>
        </w:rPr>
        <w:t xml:space="preserve"> the impact of harmonic content on measured values.</w:t>
      </w:r>
    </w:p>
    <w:p w14:paraId="64D6BED5" w14:textId="77777777" w:rsidR="007D2569" w:rsidRPr="00112B86" w:rsidRDefault="007D2569" w:rsidP="007D2569">
      <w:pPr>
        <w:rPr>
          <w:lang w:val="en-CA"/>
        </w:rPr>
      </w:pPr>
    </w:p>
    <w:p w14:paraId="1D63E871" w14:textId="77777777" w:rsidR="007D2569" w:rsidRDefault="007D2569" w:rsidP="007D2569">
      <w:pPr>
        <w:rPr>
          <w:lang w:val="en-CA"/>
        </w:rPr>
      </w:pPr>
      <w:r w:rsidRPr="00112B86">
        <w:rPr>
          <w:lang w:val="en-CA"/>
        </w:rPr>
        <w:t>Harmonic content is becoming increasingly prevalent with the use of consumer electronics and power saving appliances, and this is having an increasingly significant impact on accuracy and equity in electricity trade measurement.</w:t>
      </w:r>
      <w:r>
        <w:rPr>
          <w:lang w:val="en-CA"/>
        </w:rPr>
        <w:t xml:space="preserve"> </w:t>
      </w:r>
      <w:r w:rsidRPr="00112B86">
        <w:rPr>
          <w:lang w:val="en-CA"/>
        </w:rPr>
        <w:t xml:space="preserve">Traditionally, meters in Canada (and much of the world) have been assessed at sinusoidal conditions and consequently, differing meter designs and methodologies will </w:t>
      </w:r>
      <w:r w:rsidRPr="00112B86">
        <w:rPr>
          <w:lang w:val="en-CA"/>
        </w:rPr>
        <w:lastRenderedPageBreak/>
        <w:t>all produce the same measurement values. However, in varying and diverse real world conditions, different meters will produce different measurement values.</w:t>
      </w:r>
      <w:bookmarkStart w:id="0" w:name="_GoBack"/>
      <w:bookmarkEnd w:id="0"/>
    </w:p>
    <w:p w14:paraId="1CD90295" w14:textId="77777777" w:rsidR="007D2569" w:rsidRDefault="007D2569" w:rsidP="007D2569">
      <w:pPr>
        <w:rPr>
          <w:lang w:val="en-CA"/>
        </w:rPr>
      </w:pPr>
    </w:p>
    <w:p w14:paraId="4C44C533" w14:textId="46B9F973" w:rsidR="007D2569" w:rsidRDefault="007D2569" w:rsidP="007D2569">
      <w:pPr>
        <w:rPr>
          <w:lang w:val="en-CA"/>
        </w:rPr>
      </w:pPr>
      <w:r w:rsidRPr="00112B86">
        <w:rPr>
          <w:lang w:val="en-CA"/>
        </w:rPr>
        <w:t xml:space="preserve">TC-12 will determine </w:t>
      </w:r>
      <w:r>
        <w:rPr>
          <w:lang w:val="en-CA"/>
        </w:rPr>
        <w:t>how to best address this issue in a possible revision to R 46.</w:t>
      </w:r>
      <w:r w:rsidR="00676D42">
        <w:rPr>
          <w:lang w:val="en-CA"/>
        </w:rPr>
        <w:t xml:space="preserve"> </w:t>
      </w:r>
    </w:p>
    <w:p w14:paraId="718743F8" w14:textId="77777777" w:rsidR="005C6EE5" w:rsidRDefault="005C6EE5" w:rsidP="007D2569">
      <w:pPr>
        <w:rPr>
          <w:lang w:val="en-CA"/>
        </w:rPr>
      </w:pPr>
    </w:p>
    <w:p w14:paraId="6D476A4A" w14:textId="066791D9" w:rsidR="005C6EE5" w:rsidRPr="004831B4" w:rsidRDefault="005C6EE5" w:rsidP="007D2569">
      <w:pPr>
        <w:rPr>
          <w:rFonts w:asciiTheme="majorHAnsi" w:hAnsiTheme="majorHAnsi"/>
          <w:b/>
          <w:color w:val="B8CCE4" w:themeColor="accent1" w:themeTint="66"/>
          <w:sz w:val="26"/>
          <w:szCs w:val="26"/>
          <w:lang w:val="en-CA"/>
        </w:rPr>
      </w:pPr>
      <w:r w:rsidRPr="004831B4">
        <w:rPr>
          <w:rFonts w:asciiTheme="majorHAnsi" w:hAnsiTheme="majorHAnsi"/>
          <w:b/>
          <w:color w:val="B8CCE4" w:themeColor="accent1" w:themeTint="66"/>
          <w:sz w:val="26"/>
          <w:szCs w:val="26"/>
          <w:lang w:val="en-CA"/>
        </w:rPr>
        <w:t>Requirements for Software Controlled Measuring Instruments</w:t>
      </w:r>
      <w:r w:rsidR="00676D42" w:rsidRPr="004831B4">
        <w:rPr>
          <w:rFonts w:asciiTheme="majorHAnsi" w:hAnsiTheme="majorHAnsi"/>
          <w:b/>
          <w:color w:val="B8CCE4" w:themeColor="accent1" w:themeTint="66"/>
          <w:sz w:val="26"/>
          <w:szCs w:val="26"/>
          <w:lang w:val="en-CA"/>
        </w:rPr>
        <w:t xml:space="preserve"> TC 5 – D31</w:t>
      </w:r>
    </w:p>
    <w:p w14:paraId="054E22C7" w14:textId="77777777" w:rsidR="007D2569" w:rsidRDefault="007D2569" w:rsidP="007D2569">
      <w:pPr>
        <w:rPr>
          <w:lang w:val="en-CA"/>
        </w:rPr>
      </w:pPr>
    </w:p>
    <w:p w14:paraId="47A6BE37" w14:textId="48446011" w:rsidR="005C6EE5" w:rsidRPr="00112B86" w:rsidRDefault="005C6EE5" w:rsidP="007D2569">
      <w:pPr>
        <w:rPr>
          <w:lang w:val="en-CA"/>
        </w:rPr>
      </w:pPr>
      <w:r>
        <w:rPr>
          <w:lang w:val="en-CA"/>
        </w:rPr>
        <w:t xml:space="preserve">Measurement Canada </w:t>
      </w:r>
      <w:r w:rsidR="00B84ABB">
        <w:rPr>
          <w:lang w:val="en-CA"/>
        </w:rPr>
        <w:t xml:space="preserve">is reviewing its </w:t>
      </w:r>
      <w:r>
        <w:rPr>
          <w:lang w:val="en-CA"/>
        </w:rPr>
        <w:t xml:space="preserve">requirements related to metrological software. </w:t>
      </w:r>
      <w:r w:rsidR="00B84ABB">
        <w:rPr>
          <w:lang w:val="en-CA"/>
        </w:rPr>
        <w:t>OIML TC5/SC2 will begin discussions on</w:t>
      </w:r>
      <w:r w:rsidR="00676D42">
        <w:rPr>
          <w:lang w:val="en-CA"/>
        </w:rPr>
        <w:t xml:space="preserve"> possible revisions to D</w:t>
      </w:r>
      <w:r w:rsidR="00B84ABB">
        <w:rPr>
          <w:lang w:val="en-CA"/>
        </w:rPr>
        <w:t xml:space="preserve"> 31 requirements. Canada will participate in this revision process in order to ensure that Canadian requirements are in line with international practices.</w:t>
      </w:r>
    </w:p>
    <w:p w14:paraId="7B5891DA" w14:textId="77777777" w:rsidR="007D2569" w:rsidRPr="00112B86" w:rsidRDefault="007D2569" w:rsidP="007D2569">
      <w:pPr>
        <w:rPr>
          <w:lang w:val="en-CA"/>
        </w:rPr>
      </w:pPr>
    </w:p>
    <w:p w14:paraId="058A8351" w14:textId="351C98AE" w:rsidR="0052210C" w:rsidRDefault="0052210C" w:rsidP="0052210C">
      <w:pPr>
        <w:keepNext/>
        <w:spacing w:before="200"/>
        <w:rPr>
          <w:rFonts w:ascii="Cambria" w:hAnsi="Cambria"/>
          <w:b/>
          <w:bCs/>
          <w:color w:val="4F81BD"/>
          <w:sz w:val="26"/>
          <w:szCs w:val="26"/>
        </w:rPr>
      </w:pPr>
      <w:r>
        <w:rPr>
          <w:rFonts w:ascii="Cambria" w:hAnsi="Cambria"/>
          <w:b/>
          <w:bCs/>
          <w:color w:val="4F81BD"/>
          <w:sz w:val="26"/>
          <w:szCs w:val="26"/>
        </w:rPr>
        <w:lastRenderedPageBreak/>
        <w:t>Thermal Energy Meters</w:t>
      </w:r>
    </w:p>
    <w:p w14:paraId="2DDC6B5B" w14:textId="77777777" w:rsidR="0052210C" w:rsidRDefault="0052210C" w:rsidP="0052210C">
      <w:pPr>
        <w:rPr>
          <w:lang w:val="en-CA"/>
        </w:rPr>
      </w:pPr>
    </w:p>
    <w:p w14:paraId="7C0F4CFC" w14:textId="53E8351D" w:rsidR="0052210C" w:rsidRDefault="0052210C" w:rsidP="0052210C">
      <w:pPr>
        <w:spacing w:after="200" w:line="276" w:lineRule="auto"/>
      </w:pPr>
      <w:r>
        <w:t xml:space="preserve">Measurement Canada has recently completed a consultation with stakeholders regarding thermal energy meters. The goal of this consultation was to determine how Measurement Canada would proceed with regulating these devices. </w:t>
      </w:r>
    </w:p>
    <w:p w14:paraId="720951F6" w14:textId="77777777" w:rsidR="0052210C" w:rsidRPr="004831B4" w:rsidRDefault="0052210C" w:rsidP="0052210C">
      <w:pPr>
        <w:spacing w:after="200" w:line="276" w:lineRule="auto"/>
      </w:pPr>
      <w:r w:rsidRPr="004831B4">
        <w:t>Feedback was sought on:</w:t>
      </w:r>
    </w:p>
    <w:p w14:paraId="6A9A324A" w14:textId="77777777" w:rsidR="0052210C" w:rsidRPr="004831B4" w:rsidRDefault="0052210C" w:rsidP="0052210C">
      <w:pPr>
        <w:numPr>
          <w:ilvl w:val="0"/>
          <w:numId w:val="17"/>
        </w:numPr>
        <w:spacing w:after="200" w:line="276" w:lineRule="auto"/>
        <w:contextualSpacing/>
        <w:rPr>
          <w:rFonts w:eastAsia="Times New Roman"/>
        </w:rPr>
      </w:pPr>
      <w:r w:rsidRPr="004831B4">
        <w:rPr>
          <w:rFonts w:eastAsia="Times New Roman"/>
        </w:rPr>
        <w:t>Whether this was an area that needed Measurement Canada oversight</w:t>
      </w:r>
    </w:p>
    <w:p w14:paraId="38883EB0" w14:textId="795A5C71" w:rsidR="0052210C" w:rsidRPr="004831B4" w:rsidRDefault="0052210C" w:rsidP="0052210C">
      <w:pPr>
        <w:numPr>
          <w:ilvl w:val="0"/>
          <w:numId w:val="17"/>
        </w:numPr>
        <w:spacing w:after="200" w:line="276" w:lineRule="auto"/>
        <w:contextualSpacing/>
        <w:rPr>
          <w:rFonts w:eastAsia="Times New Roman"/>
          <w:strike/>
        </w:rPr>
      </w:pPr>
      <w:r w:rsidRPr="004831B4">
        <w:rPr>
          <w:rFonts w:eastAsia="Times New Roman"/>
        </w:rPr>
        <w:t>Proposed approval requirements based on the EN-1434 standard</w:t>
      </w:r>
    </w:p>
    <w:p w14:paraId="5DD9BECD" w14:textId="77777777" w:rsidR="0052210C" w:rsidRPr="004831B4" w:rsidRDefault="0052210C" w:rsidP="0052210C">
      <w:pPr>
        <w:numPr>
          <w:ilvl w:val="0"/>
          <w:numId w:val="17"/>
        </w:numPr>
        <w:spacing w:after="200" w:line="276" w:lineRule="auto"/>
        <w:contextualSpacing/>
        <w:rPr>
          <w:rFonts w:eastAsia="Times New Roman"/>
        </w:rPr>
      </w:pPr>
      <w:r w:rsidRPr="004831B4">
        <w:rPr>
          <w:rFonts w:eastAsia="Times New Roman"/>
        </w:rPr>
        <w:t>What installation inspection requirements might look like</w:t>
      </w:r>
    </w:p>
    <w:p w14:paraId="0579A8A6" w14:textId="72C0325D" w:rsidR="0052210C" w:rsidRPr="004831B4" w:rsidRDefault="0052210C" w:rsidP="0052210C">
      <w:pPr>
        <w:numPr>
          <w:ilvl w:val="0"/>
          <w:numId w:val="17"/>
        </w:numPr>
        <w:spacing w:after="200" w:line="276" w:lineRule="auto"/>
        <w:contextualSpacing/>
        <w:rPr>
          <w:rFonts w:eastAsia="Times New Roman"/>
        </w:rPr>
      </w:pPr>
      <w:r w:rsidRPr="004831B4">
        <w:rPr>
          <w:rFonts w:eastAsia="Times New Roman"/>
        </w:rPr>
        <w:t>Whether there was authorized service provider interest and capacity to perform inspections</w:t>
      </w:r>
    </w:p>
    <w:p w14:paraId="2747AA8B" w14:textId="77777777" w:rsidR="0052210C" w:rsidRPr="004831B4" w:rsidRDefault="0052210C" w:rsidP="0052210C">
      <w:pPr>
        <w:numPr>
          <w:ilvl w:val="0"/>
          <w:numId w:val="17"/>
        </w:numPr>
        <w:spacing w:after="200" w:line="276" w:lineRule="auto"/>
        <w:contextualSpacing/>
        <w:rPr>
          <w:rFonts w:eastAsia="Times New Roman"/>
        </w:rPr>
      </w:pPr>
      <w:r w:rsidRPr="004831B4">
        <w:rPr>
          <w:rFonts w:eastAsia="Times New Roman"/>
        </w:rPr>
        <w:t>A proposed timeline for the implementation of the requirements</w:t>
      </w:r>
    </w:p>
    <w:p w14:paraId="03665FDB" w14:textId="77777777" w:rsidR="0052210C" w:rsidRPr="004831B4" w:rsidRDefault="0052210C" w:rsidP="0052210C">
      <w:pPr>
        <w:rPr>
          <w:lang w:val="en-CA"/>
        </w:rPr>
      </w:pPr>
    </w:p>
    <w:p w14:paraId="0978015F" w14:textId="77777777" w:rsidR="0052210C" w:rsidRPr="004831B4" w:rsidRDefault="0052210C" w:rsidP="0052210C">
      <w:r w:rsidRPr="004831B4">
        <w:t>The results of this consultation are currently being assessed in order to determine the appropriate approach and next steps for regulating thermal energy meters.</w:t>
      </w:r>
    </w:p>
    <w:p w14:paraId="09B472C6" w14:textId="61333BD0" w:rsidR="008F4E08" w:rsidRDefault="008F4E08" w:rsidP="004831B4">
      <w:pPr>
        <w:pStyle w:val="Heading2"/>
      </w:pPr>
    </w:p>
    <w:p w14:paraId="295E21DA" w14:textId="77777777" w:rsidR="008F4E08" w:rsidRDefault="008F4E08" w:rsidP="004831B4"/>
    <w:sectPr w:rsidR="008F4E08" w:rsidSect="00DD1F87">
      <w:headerReference w:type="default" r:id="rId8"/>
      <w:headerReference w:type="first" r:id="rId9"/>
      <w:pgSz w:w="11906" w:h="16838"/>
      <w:pgMar w:top="1560" w:right="1440" w:bottom="1135"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EF3869" w14:textId="77777777" w:rsidR="006574DF" w:rsidRDefault="006574DF" w:rsidP="00765680">
      <w:r>
        <w:separator/>
      </w:r>
    </w:p>
  </w:endnote>
  <w:endnote w:type="continuationSeparator" w:id="0">
    <w:p w14:paraId="70486073" w14:textId="77777777" w:rsidR="006574DF" w:rsidRDefault="006574DF" w:rsidP="00765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Franklin Gothic Demi Cond">
    <w:panose1 w:val="020B07060304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7A9E0" w14:textId="77777777" w:rsidR="006574DF" w:rsidRDefault="006574DF" w:rsidP="00765680">
      <w:r>
        <w:separator/>
      </w:r>
    </w:p>
  </w:footnote>
  <w:footnote w:type="continuationSeparator" w:id="0">
    <w:p w14:paraId="25191C39" w14:textId="77777777" w:rsidR="006574DF" w:rsidRDefault="006574DF" w:rsidP="007656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EB2A99" w14:textId="77777777" w:rsidR="00765680" w:rsidRPr="00A32DEE" w:rsidRDefault="00A32DEE">
    <w:pPr>
      <w:pStyle w:val="Header"/>
    </w:pPr>
    <w:r>
      <w:rPr>
        <w:noProof/>
        <w:lang w:eastAsia="en-NZ"/>
      </w:rPr>
      <w:t xml:space="preserve">Economy Report – </w:t>
    </w:r>
    <w:r w:rsidR="00996210">
      <w:rPr>
        <w:i/>
        <w:noProof/>
        <w:lang w:eastAsia="en-NZ"/>
      </w:rPr>
      <w:t>Economy</w:t>
    </w:r>
    <w:r>
      <w:rPr>
        <w:i/>
        <w:noProof/>
        <w:lang w:eastAsia="en-NZ"/>
      </w:rPr>
      <w:t xml:space="preserve"> Name </w:t>
    </w:r>
    <w:r>
      <w:rPr>
        <w:i/>
        <w:noProof/>
        <w:lang w:eastAsia="en-NZ"/>
      </w:rPr>
      <w:tab/>
    </w:r>
    <w:r>
      <w:rPr>
        <w:i/>
        <w:noProof/>
        <w:lang w:eastAsia="en-NZ"/>
      </w:rPr>
      <w:tab/>
    </w:r>
    <w:r w:rsidRPr="00A32DEE">
      <w:rPr>
        <w:noProof/>
        <w:lang w:eastAsia="en-NZ"/>
      </w:rPr>
      <w:t xml:space="preserve">Page | </w:t>
    </w:r>
    <w:r w:rsidRPr="00A32DEE">
      <w:rPr>
        <w:noProof/>
        <w:lang w:eastAsia="en-NZ"/>
      </w:rPr>
      <w:fldChar w:fldCharType="begin"/>
    </w:r>
    <w:r w:rsidRPr="00A32DEE">
      <w:rPr>
        <w:noProof/>
        <w:lang w:eastAsia="en-NZ"/>
      </w:rPr>
      <w:instrText xml:space="preserve"> PAGE   \* MERGEFORMAT </w:instrText>
    </w:r>
    <w:r w:rsidRPr="00A32DEE">
      <w:rPr>
        <w:noProof/>
        <w:lang w:eastAsia="en-NZ"/>
      </w:rPr>
      <w:fldChar w:fldCharType="separate"/>
    </w:r>
    <w:r w:rsidR="004831B4">
      <w:rPr>
        <w:noProof/>
        <w:lang w:eastAsia="en-NZ"/>
      </w:rPr>
      <w:t>2</w:t>
    </w:r>
    <w:r w:rsidRPr="00A32DEE">
      <w:rPr>
        <w:noProof/>
        <w:lang w:eastAsia="en-NZ"/>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01E049" w14:textId="77777777" w:rsidR="00A32DEE" w:rsidRDefault="00A32DEE">
    <w:pPr>
      <w:pStyle w:val="Header"/>
    </w:pPr>
    <w:r w:rsidRPr="00A32DEE">
      <w:rPr>
        <w:noProof/>
        <w:lang w:val="en-CA" w:eastAsia="en-CA"/>
      </w:rPr>
      <mc:AlternateContent>
        <mc:Choice Requires="wps">
          <w:drawing>
            <wp:anchor distT="0" distB="0" distL="114300" distR="114300" simplePos="0" relativeHeight="251662336" behindDoc="0" locked="0" layoutInCell="1" allowOverlap="1" wp14:anchorId="1EA8D499" wp14:editId="4DF0AD13">
              <wp:simplePos x="0" y="0"/>
              <wp:positionH relativeFrom="column">
                <wp:posOffset>4456430</wp:posOffset>
              </wp:positionH>
              <wp:positionV relativeFrom="paragraph">
                <wp:posOffset>-134924</wp:posOffset>
              </wp:positionV>
              <wp:extent cx="2076450" cy="85725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76450" cy="857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50.9pt;margin-top:-10.6pt;width:163.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" fillcolor="white [3201]" stroked="f" strokeweight=".5pt">
              <v:textbox>
                <w:txbxContent>
                  <w:p w14:paraId="7D16B296" w14:textId="77777777" w:rsidR="00A32DEE" w:rsidRPr="00AF1A45" w:rsidRDefault="00F62FCF" w:rsidP="00A32DEE">
                    <w:pPr>
                      <w:rPr>
                        <w:rFonts w:ascii="Franklin Gothic Demi Cond" w:hAnsi="Franklin Gothic Demi Cond"/>
                        <w:color w:val="173E49"/>
                        <w:sz w:val="36"/>
                      </w:rPr>
                    </w:pPr>
                    <w:r>
                      <w:rPr>
                        <w:rFonts w:ascii="Franklin Gothic Demi Cond" w:hAnsi="Franklin Gothic Demi Cond"/>
                        <w:color w:val="173E49"/>
                        <w:sz w:val="36"/>
                      </w:rPr>
                      <w:t>24</w:t>
                    </w:r>
                    <w:r w:rsidR="00A32DEE" w:rsidRPr="00AF1A45">
                      <w:rPr>
                        <w:rFonts w:ascii="Franklin Gothic Demi Cond" w:hAnsi="Franklin Gothic Demi Cond"/>
                        <w:color w:val="173E49"/>
                        <w:sz w:val="36"/>
                        <w:vertAlign w:val="superscript"/>
                      </w:rPr>
                      <w:t>rd</w:t>
                    </w:r>
                    <w:r>
                      <w:rPr>
                        <w:rFonts w:ascii="Franklin Gothic Demi Cond" w:hAnsi="Franklin Gothic Demi Cond"/>
                        <w:color w:val="173E49"/>
                        <w:sz w:val="36"/>
                      </w:rPr>
                      <w:t xml:space="preserve"> APLMF Meeting </w:t>
                    </w:r>
                    <w:proofErr w:type="spellStart"/>
                    <w:r w:rsidRPr="00F62FCF">
                      <w:rPr>
                        <w:rFonts w:ascii="Franklin Gothic Demi Cond" w:hAnsi="Franklin Gothic Demi Cond"/>
                        <w:color w:val="173E49"/>
                        <w:sz w:val="32"/>
                        <w:szCs w:val="32"/>
                      </w:rPr>
                      <w:t>Siem</w:t>
                    </w:r>
                    <w:proofErr w:type="spellEnd"/>
                    <w:r w:rsidRPr="00F62FCF">
                      <w:rPr>
                        <w:rFonts w:ascii="Franklin Gothic Demi Cond" w:hAnsi="Franklin Gothic Demi Cond"/>
                        <w:color w:val="173E49"/>
                        <w:sz w:val="32"/>
                        <w:szCs w:val="32"/>
                      </w:rPr>
                      <w:t xml:space="preserve"> Reap, Cambodia</w:t>
                    </w:r>
                  </w:p>
                </w:txbxContent>
              </v:textbox>
            </v:shape>
          </w:pict>
        </mc:Fallback>
      </mc:AlternateContent>
    </w:r>
    <w:r w:rsidRPr="00A32DEE">
      <w:rPr>
        <w:noProof/>
        <w:lang w:val="en-CA" w:eastAsia="en-CA"/>
      </w:rPr>
      <w:drawing>
        <wp:anchor distT="0" distB="0" distL="114300" distR="114300" simplePos="0" relativeHeight="251661312" behindDoc="1" locked="0" layoutInCell="1" allowOverlap="1" wp14:anchorId="252C9449" wp14:editId="3A417AF4">
          <wp:simplePos x="0" y="0"/>
          <wp:positionH relativeFrom="column">
            <wp:posOffset>-727075</wp:posOffset>
          </wp:positionH>
          <wp:positionV relativeFrom="paragraph">
            <wp:posOffset>-287020</wp:posOffset>
          </wp:positionV>
          <wp:extent cx="3114675" cy="1181100"/>
          <wp:effectExtent l="0" t="0" r="9525" b="0"/>
          <wp:wrapThrough wrapText="bothSides">
            <wp:wrapPolygon edited="0">
              <wp:start x="0" y="0"/>
              <wp:lineTo x="0" y="21252"/>
              <wp:lineTo x="21534" y="21252"/>
              <wp:lineTo x="21534"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114675" cy="11811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2AF"/>
    <w:multiLevelType w:val="hybridMultilevel"/>
    <w:tmpl w:val="79FC3D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11D84092"/>
    <w:multiLevelType w:val="hybridMultilevel"/>
    <w:tmpl w:val="A68CB15C"/>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
    <w:nsid w:val="178A4C0C"/>
    <w:multiLevelType w:val="hybridMultilevel"/>
    <w:tmpl w:val="44F4CB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2401C62"/>
    <w:multiLevelType w:val="hybridMultilevel"/>
    <w:tmpl w:val="323808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2FC84C22"/>
    <w:multiLevelType w:val="hybridMultilevel"/>
    <w:tmpl w:val="FD5443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33F15DD5"/>
    <w:multiLevelType w:val="hybridMultilevel"/>
    <w:tmpl w:val="E350F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39262183"/>
    <w:multiLevelType w:val="hybridMultilevel"/>
    <w:tmpl w:val="55ECD9E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7">
    <w:nsid w:val="3D29041F"/>
    <w:multiLevelType w:val="hybridMultilevel"/>
    <w:tmpl w:val="A55890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440C307F"/>
    <w:multiLevelType w:val="hybridMultilevel"/>
    <w:tmpl w:val="8BAE2632"/>
    <w:lvl w:ilvl="0" w:tplc="14090001">
      <w:start w:val="1"/>
      <w:numFmt w:val="bullet"/>
      <w:lvlText w:val=""/>
      <w:lvlJc w:val="left"/>
      <w:pPr>
        <w:ind w:left="770" w:hanging="360"/>
      </w:pPr>
      <w:rPr>
        <w:rFonts w:ascii="Symbol" w:hAnsi="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9">
    <w:nsid w:val="49190204"/>
    <w:multiLevelType w:val="hybridMultilevel"/>
    <w:tmpl w:val="61E63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50812C8E"/>
    <w:multiLevelType w:val="hybridMultilevel"/>
    <w:tmpl w:val="F8F80F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564A13EB"/>
    <w:multiLevelType w:val="hybridMultilevel"/>
    <w:tmpl w:val="38CEA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59EF6B14"/>
    <w:multiLevelType w:val="hybridMultilevel"/>
    <w:tmpl w:val="741A86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0C82049"/>
    <w:multiLevelType w:val="hybridMultilevel"/>
    <w:tmpl w:val="77E2BD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703A2D6B"/>
    <w:multiLevelType w:val="hybridMultilevel"/>
    <w:tmpl w:val="1BDE7C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4"/>
  </w:num>
  <w:num w:numId="5">
    <w:abstractNumId w:val="0"/>
  </w:num>
  <w:num w:numId="6">
    <w:abstractNumId w:val="12"/>
  </w:num>
  <w:num w:numId="7">
    <w:abstractNumId w:val="14"/>
  </w:num>
  <w:num w:numId="8">
    <w:abstractNumId w:val="7"/>
  </w:num>
  <w:num w:numId="9">
    <w:abstractNumId w:val="5"/>
  </w:num>
  <w:num w:numId="10">
    <w:abstractNumId w:val="8"/>
  </w:num>
  <w:num w:numId="11">
    <w:abstractNumId w:val="13"/>
  </w:num>
  <w:num w:numId="12">
    <w:abstractNumId w:val="9"/>
  </w:num>
  <w:num w:numId="13">
    <w:abstractNumId w:val="3"/>
  </w:num>
  <w:num w:numId="14">
    <w:abstractNumId w:val="11"/>
  </w:num>
  <w:num w:numId="15">
    <w:abstractNumId w:val="2"/>
  </w:num>
  <w:num w:numId="16">
    <w:abstractNumId w:val="10"/>
  </w:num>
  <w:num w:numId="17">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210"/>
    <w:rsid w:val="00001266"/>
    <w:rsid w:val="00001E22"/>
    <w:rsid w:val="000044B9"/>
    <w:rsid w:val="0000592D"/>
    <w:rsid w:val="000116C3"/>
    <w:rsid w:val="00011E6E"/>
    <w:rsid w:val="00023832"/>
    <w:rsid w:val="00032072"/>
    <w:rsid w:val="00032333"/>
    <w:rsid w:val="00040B34"/>
    <w:rsid w:val="00042C9E"/>
    <w:rsid w:val="00044BE5"/>
    <w:rsid w:val="00045CBF"/>
    <w:rsid w:val="00045FF5"/>
    <w:rsid w:val="000466F3"/>
    <w:rsid w:val="00047582"/>
    <w:rsid w:val="000519DF"/>
    <w:rsid w:val="000532B6"/>
    <w:rsid w:val="00053D12"/>
    <w:rsid w:val="0005408C"/>
    <w:rsid w:val="000642AC"/>
    <w:rsid w:val="00064C44"/>
    <w:rsid w:val="00067EBA"/>
    <w:rsid w:val="00070BB7"/>
    <w:rsid w:val="00072949"/>
    <w:rsid w:val="00072DCA"/>
    <w:rsid w:val="00074515"/>
    <w:rsid w:val="000800B5"/>
    <w:rsid w:val="00080326"/>
    <w:rsid w:val="00081603"/>
    <w:rsid w:val="00083169"/>
    <w:rsid w:val="0008553D"/>
    <w:rsid w:val="0008782E"/>
    <w:rsid w:val="000908D0"/>
    <w:rsid w:val="0009288C"/>
    <w:rsid w:val="000928D9"/>
    <w:rsid w:val="00094E76"/>
    <w:rsid w:val="0009543F"/>
    <w:rsid w:val="000973EF"/>
    <w:rsid w:val="000A0FEC"/>
    <w:rsid w:val="000A107F"/>
    <w:rsid w:val="000A19A1"/>
    <w:rsid w:val="000A1E67"/>
    <w:rsid w:val="000A3E18"/>
    <w:rsid w:val="000A3EAE"/>
    <w:rsid w:val="000A4B81"/>
    <w:rsid w:val="000A6EA1"/>
    <w:rsid w:val="000A7815"/>
    <w:rsid w:val="000B03D6"/>
    <w:rsid w:val="000B28F1"/>
    <w:rsid w:val="000B38FE"/>
    <w:rsid w:val="000B6550"/>
    <w:rsid w:val="000C26EE"/>
    <w:rsid w:val="000C499D"/>
    <w:rsid w:val="000C7194"/>
    <w:rsid w:val="000C7EC1"/>
    <w:rsid w:val="000D0259"/>
    <w:rsid w:val="000D3021"/>
    <w:rsid w:val="000D5461"/>
    <w:rsid w:val="000D74DB"/>
    <w:rsid w:val="000E34B2"/>
    <w:rsid w:val="000E4F1D"/>
    <w:rsid w:val="000E56DA"/>
    <w:rsid w:val="000F0168"/>
    <w:rsid w:val="00102577"/>
    <w:rsid w:val="00107301"/>
    <w:rsid w:val="00107543"/>
    <w:rsid w:val="001102C9"/>
    <w:rsid w:val="00110633"/>
    <w:rsid w:val="001149CA"/>
    <w:rsid w:val="0011756E"/>
    <w:rsid w:val="00117841"/>
    <w:rsid w:val="00120588"/>
    <w:rsid w:val="00130D17"/>
    <w:rsid w:val="00134CF1"/>
    <w:rsid w:val="00135AFD"/>
    <w:rsid w:val="00136F19"/>
    <w:rsid w:val="00136FA6"/>
    <w:rsid w:val="00150B34"/>
    <w:rsid w:val="00151F73"/>
    <w:rsid w:val="001521BA"/>
    <w:rsid w:val="00152680"/>
    <w:rsid w:val="00152E85"/>
    <w:rsid w:val="00155CD8"/>
    <w:rsid w:val="001576F0"/>
    <w:rsid w:val="00160D26"/>
    <w:rsid w:val="00161F02"/>
    <w:rsid w:val="00164B80"/>
    <w:rsid w:val="0016501F"/>
    <w:rsid w:val="001650DE"/>
    <w:rsid w:val="00166F21"/>
    <w:rsid w:val="001716CE"/>
    <w:rsid w:val="001724A1"/>
    <w:rsid w:val="00175CF3"/>
    <w:rsid w:val="00181190"/>
    <w:rsid w:val="001815CE"/>
    <w:rsid w:val="001821E8"/>
    <w:rsid w:val="00184FDC"/>
    <w:rsid w:val="00186862"/>
    <w:rsid w:val="00187DDF"/>
    <w:rsid w:val="001904F4"/>
    <w:rsid w:val="00190F98"/>
    <w:rsid w:val="001933C5"/>
    <w:rsid w:val="00195F24"/>
    <w:rsid w:val="001A3399"/>
    <w:rsid w:val="001B0704"/>
    <w:rsid w:val="001B2F3B"/>
    <w:rsid w:val="001B74E7"/>
    <w:rsid w:val="001B7C30"/>
    <w:rsid w:val="001C1939"/>
    <w:rsid w:val="001C2A19"/>
    <w:rsid w:val="001C5067"/>
    <w:rsid w:val="001D18C7"/>
    <w:rsid w:val="001D3592"/>
    <w:rsid w:val="001D4E74"/>
    <w:rsid w:val="001D6CD9"/>
    <w:rsid w:val="001D7486"/>
    <w:rsid w:val="001E0D52"/>
    <w:rsid w:val="001E3A73"/>
    <w:rsid w:val="001E75E0"/>
    <w:rsid w:val="001F24AC"/>
    <w:rsid w:val="001F4D27"/>
    <w:rsid w:val="002052A8"/>
    <w:rsid w:val="002052FA"/>
    <w:rsid w:val="0020679D"/>
    <w:rsid w:val="00207C80"/>
    <w:rsid w:val="00211534"/>
    <w:rsid w:val="00215899"/>
    <w:rsid w:val="002167F7"/>
    <w:rsid w:val="00217D22"/>
    <w:rsid w:val="0022785D"/>
    <w:rsid w:val="0023192C"/>
    <w:rsid w:val="00233B9F"/>
    <w:rsid w:val="00234D34"/>
    <w:rsid w:val="002407A4"/>
    <w:rsid w:val="00240856"/>
    <w:rsid w:val="00240A41"/>
    <w:rsid w:val="002435F5"/>
    <w:rsid w:val="00246BFC"/>
    <w:rsid w:val="00250978"/>
    <w:rsid w:val="00251AEC"/>
    <w:rsid w:val="002534C9"/>
    <w:rsid w:val="00254989"/>
    <w:rsid w:val="00255B2E"/>
    <w:rsid w:val="00256313"/>
    <w:rsid w:val="002565BB"/>
    <w:rsid w:val="00260390"/>
    <w:rsid w:val="00272462"/>
    <w:rsid w:val="002754D6"/>
    <w:rsid w:val="002769AF"/>
    <w:rsid w:val="002805D3"/>
    <w:rsid w:val="0028181D"/>
    <w:rsid w:val="00282304"/>
    <w:rsid w:val="00286E56"/>
    <w:rsid w:val="00291012"/>
    <w:rsid w:val="00292C7D"/>
    <w:rsid w:val="00293B87"/>
    <w:rsid w:val="002957EB"/>
    <w:rsid w:val="002A0FA2"/>
    <w:rsid w:val="002A14EA"/>
    <w:rsid w:val="002A1D6E"/>
    <w:rsid w:val="002A2B78"/>
    <w:rsid w:val="002A7D3F"/>
    <w:rsid w:val="002B0F29"/>
    <w:rsid w:val="002B43EA"/>
    <w:rsid w:val="002B7A24"/>
    <w:rsid w:val="002C00EF"/>
    <w:rsid w:val="002C0E1D"/>
    <w:rsid w:val="002C178B"/>
    <w:rsid w:val="002C4410"/>
    <w:rsid w:val="002C5790"/>
    <w:rsid w:val="002C6FC8"/>
    <w:rsid w:val="002C7D95"/>
    <w:rsid w:val="002D0233"/>
    <w:rsid w:val="002D3CED"/>
    <w:rsid w:val="002D4CDF"/>
    <w:rsid w:val="002D4E5B"/>
    <w:rsid w:val="002D69C5"/>
    <w:rsid w:val="002D7200"/>
    <w:rsid w:val="002E1094"/>
    <w:rsid w:val="002E2961"/>
    <w:rsid w:val="002E3BAD"/>
    <w:rsid w:val="002E3DB5"/>
    <w:rsid w:val="002E454F"/>
    <w:rsid w:val="002E45E3"/>
    <w:rsid w:val="002E5255"/>
    <w:rsid w:val="002E7E05"/>
    <w:rsid w:val="002F3C8F"/>
    <w:rsid w:val="002F5B28"/>
    <w:rsid w:val="002F6F48"/>
    <w:rsid w:val="00301A03"/>
    <w:rsid w:val="003051ED"/>
    <w:rsid w:val="003104CE"/>
    <w:rsid w:val="00312A73"/>
    <w:rsid w:val="00317707"/>
    <w:rsid w:val="00317F27"/>
    <w:rsid w:val="0032049E"/>
    <w:rsid w:val="00320C06"/>
    <w:rsid w:val="0032247D"/>
    <w:rsid w:val="003224CE"/>
    <w:rsid w:val="00326E8B"/>
    <w:rsid w:val="00332471"/>
    <w:rsid w:val="003325C7"/>
    <w:rsid w:val="00333437"/>
    <w:rsid w:val="0033481E"/>
    <w:rsid w:val="00343860"/>
    <w:rsid w:val="003459F7"/>
    <w:rsid w:val="00346A2E"/>
    <w:rsid w:val="00350526"/>
    <w:rsid w:val="00353C87"/>
    <w:rsid w:val="00357210"/>
    <w:rsid w:val="00360A68"/>
    <w:rsid w:val="00361DCF"/>
    <w:rsid w:val="003634EA"/>
    <w:rsid w:val="003675AB"/>
    <w:rsid w:val="003700D3"/>
    <w:rsid w:val="00376F58"/>
    <w:rsid w:val="00380334"/>
    <w:rsid w:val="00383E5E"/>
    <w:rsid w:val="00386585"/>
    <w:rsid w:val="00387C45"/>
    <w:rsid w:val="003904F4"/>
    <w:rsid w:val="003915FC"/>
    <w:rsid w:val="003923A2"/>
    <w:rsid w:val="003958B8"/>
    <w:rsid w:val="003A0BA6"/>
    <w:rsid w:val="003A2FF4"/>
    <w:rsid w:val="003A43C6"/>
    <w:rsid w:val="003A5D61"/>
    <w:rsid w:val="003A674B"/>
    <w:rsid w:val="003A7030"/>
    <w:rsid w:val="003A7CD9"/>
    <w:rsid w:val="003A7F81"/>
    <w:rsid w:val="003C1276"/>
    <w:rsid w:val="003C1538"/>
    <w:rsid w:val="003C5123"/>
    <w:rsid w:val="003C57CB"/>
    <w:rsid w:val="003D035E"/>
    <w:rsid w:val="003D4866"/>
    <w:rsid w:val="003D600F"/>
    <w:rsid w:val="003E32A6"/>
    <w:rsid w:val="003E3A72"/>
    <w:rsid w:val="003E7BE0"/>
    <w:rsid w:val="003F0815"/>
    <w:rsid w:val="003F0A8F"/>
    <w:rsid w:val="003F1FBC"/>
    <w:rsid w:val="003F4F23"/>
    <w:rsid w:val="003F56ED"/>
    <w:rsid w:val="003F5AB3"/>
    <w:rsid w:val="003F5B5B"/>
    <w:rsid w:val="003F6D96"/>
    <w:rsid w:val="00401F33"/>
    <w:rsid w:val="00401F35"/>
    <w:rsid w:val="00404901"/>
    <w:rsid w:val="00404DFF"/>
    <w:rsid w:val="0040505E"/>
    <w:rsid w:val="004068A7"/>
    <w:rsid w:val="00411203"/>
    <w:rsid w:val="00412278"/>
    <w:rsid w:val="00414251"/>
    <w:rsid w:val="004158D8"/>
    <w:rsid w:val="00417D52"/>
    <w:rsid w:val="00420030"/>
    <w:rsid w:val="004215D0"/>
    <w:rsid w:val="0042359A"/>
    <w:rsid w:val="00424702"/>
    <w:rsid w:val="0042572A"/>
    <w:rsid w:val="00425A95"/>
    <w:rsid w:val="00426B55"/>
    <w:rsid w:val="0042740A"/>
    <w:rsid w:val="00427B38"/>
    <w:rsid w:val="004341AF"/>
    <w:rsid w:val="0043473F"/>
    <w:rsid w:val="0043536B"/>
    <w:rsid w:val="00436AC4"/>
    <w:rsid w:val="004379DA"/>
    <w:rsid w:val="00437B2B"/>
    <w:rsid w:val="00440A86"/>
    <w:rsid w:val="00443962"/>
    <w:rsid w:val="00445310"/>
    <w:rsid w:val="0044574D"/>
    <w:rsid w:val="004462B8"/>
    <w:rsid w:val="004471D3"/>
    <w:rsid w:val="0045063A"/>
    <w:rsid w:val="00460850"/>
    <w:rsid w:val="00480B1B"/>
    <w:rsid w:val="0048145C"/>
    <w:rsid w:val="00481C59"/>
    <w:rsid w:val="00481F4A"/>
    <w:rsid w:val="004822E1"/>
    <w:rsid w:val="00482363"/>
    <w:rsid w:val="004831B4"/>
    <w:rsid w:val="00485F96"/>
    <w:rsid w:val="00486507"/>
    <w:rsid w:val="00486A75"/>
    <w:rsid w:val="00487750"/>
    <w:rsid w:val="00495425"/>
    <w:rsid w:val="004A15F2"/>
    <w:rsid w:val="004A349A"/>
    <w:rsid w:val="004A3C69"/>
    <w:rsid w:val="004A538E"/>
    <w:rsid w:val="004B010A"/>
    <w:rsid w:val="004B241A"/>
    <w:rsid w:val="004B3759"/>
    <w:rsid w:val="004B3786"/>
    <w:rsid w:val="004B653B"/>
    <w:rsid w:val="004B713F"/>
    <w:rsid w:val="004C12A7"/>
    <w:rsid w:val="004C1E93"/>
    <w:rsid w:val="004C3311"/>
    <w:rsid w:val="004C5E7F"/>
    <w:rsid w:val="004D1B07"/>
    <w:rsid w:val="004D2BA0"/>
    <w:rsid w:val="004D55BC"/>
    <w:rsid w:val="004E2F31"/>
    <w:rsid w:val="004E33E3"/>
    <w:rsid w:val="004E6ED0"/>
    <w:rsid w:val="004F20CF"/>
    <w:rsid w:val="004F2DA5"/>
    <w:rsid w:val="004F2EE4"/>
    <w:rsid w:val="004F3996"/>
    <w:rsid w:val="004F3BAF"/>
    <w:rsid w:val="004F783E"/>
    <w:rsid w:val="00502A63"/>
    <w:rsid w:val="00504053"/>
    <w:rsid w:val="005054E3"/>
    <w:rsid w:val="005100AC"/>
    <w:rsid w:val="005120EE"/>
    <w:rsid w:val="00512397"/>
    <w:rsid w:val="00515309"/>
    <w:rsid w:val="0052191B"/>
    <w:rsid w:val="0052210C"/>
    <w:rsid w:val="00524198"/>
    <w:rsid w:val="00524FD1"/>
    <w:rsid w:val="005344A9"/>
    <w:rsid w:val="00535492"/>
    <w:rsid w:val="00535526"/>
    <w:rsid w:val="005358B7"/>
    <w:rsid w:val="00536273"/>
    <w:rsid w:val="0053735F"/>
    <w:rsid w:val="005375F1"/>
    <w:rsid w:val="00540EA7"/>
    <w:rsid w:val="00542DFA"/>
    <w:rsid w:val="005431C8"/>
    <w:rsid w:val="005436EE"/>
    <w:rsid w:val="005446A0"/>
    <w:rsid w:val="00546545"/>
    <w:rsid w:val="0054694D"/>
    <w:rsid w:val="00547B30"/>
    <w:rsid w:val="00550971"/>
    <w:rsid w:val="0055486C"/>
    <w:rsid w:val="00556AB7"/>
    <w:rsid w:val="00562340"/>
    <w:rsid w:val="00566C77"/>
    <w:rsid w:val="005700E8"/>
    <w:rsid w:val="00570BB3"/>
    <w:rsid w:val="005720B1"/>
    <w:rsid w:val="0057327F"/>
    <w:rsid w:val="005732A7"/>
    <w:rsid w:val="00574FF5"/>
    <w:rsid w:val="00576F2B"/>
    <w:rsid w:val="00577621"/>
    <w:rsid w:val="00580269"/>
    <w:rsid w:val="00580DF6"/>
    <w:rsid w:val="00583997"/>
    <w:rsid w:val="005870BA"/>
    <w:rsid w:val="00587569"/>
    <w:rsid w:val="00587B3C"/>
    <w:rsid w:val="00590AFA"/>
    <w:rsid w:val="00590D80"/>
    <w:rsid w:val="005916F2"/>
    <w:rsid w:val="00592607"/>
    <w:rsid w:val="00593C2A"/>
    <w:rsid w:val="00596F9E"/>
    <w:rsid w:val="0059730D"/>
    <w:rsid w:val="005A44E5"/>
    <w:rsid w:val="005A4D39"/>
    <w:rsid w:val="005A5995"/>
    <w:rsid w:val="005A629B"/>
    <w:rsid w:val="005A6537"/>
    <w:rsid w:val="005A7F4F"/>
    <w:rsid w:val="005B0CD9"/>
    <w:rsid w:val="005B3F7A"/>
    <w:rsid w:val="005B52F6"/>
    <w:rsid w:val="005B7D17"/>
    <w:rsid w:val="005C17E2"/>
    <w:rsid w:val="005C18CF"/>
    <w:rsid w:val="005C2E39"/>
    <w:rsid w:val="005C6EE5"/>
    <w:rsid w:val="005C7B47"/>
    <w:rsid w:val="005D148E"/>
    <w:rsid w:val="005D546E"/>
    <w:rsid w:val="005D5FDF"/>
    <w:rsid w:val="005D68B9"/>
    <w:rsid w:val="005E01BB"/>
    <w:rsid w:val="005E213F"/>
    <w:rsid w:val="005E3F28"/>
    <w:rsid w:val="005E6A72"/>
    <w:rsid w:val="005E7115"/>
    <w:rsid w:val="005E7E48"/>
    <w:rsid w:val="005F1154"/>
    <w:rsid w:val="005F2DCC"/>
    <w:rsid w:val="005F64C0"/>
    <w:rsid w:val="00601F78"/>
    <w:rsid w:val="00602A6D"/>
    <w:rsid w:val="00602A6E"/>
    <w:rsid w:val="00602F15"/>
    <w:rsid w:val="00604467"/>
    <w:rsid w:val="00605908"/>
    <w:rsid w:val="0060774B"/>
    <w:rsid w:val="0061437B"/>
    <w:rsid w:val="006160C4"/>
    <w:rsid w:val="006172C5"/>
    <w:rsid w:val="006175DE"/>
    <w:rsid w:val="00620C33"/>
    <w:rsid w:val="00620ED8"/>
    <w:rsid w:val="006323A3"/>
    <w:rsid w:val="006369FF"/>
    <w:rsid w:val="0064084E"/>
    <w:rsid w:val="0064329E"/>
    <w:rsid w:val="006438C1"/>
    <w:rsid w:val="00643A59"/>
    <w:rsid w:val="006444CD"/>
    <w:rsid w:val="00646C36"/>
    <w:rsid w:val="00647C0A"/>
    <w:rsid w:val="00647D68"/>
    <w:rsid w:val="00650D56"/>
    <w:rsid w:val="00651357"/>
    <w:rsid w:val="00651FB5"/>
    <w:rsid w:val="00652086"/>
    <w:rsid w:val="00652AF2"/>
    <w:rsid w:val="006548F6"/>
    <w:rsid w:val="0065490C"/>
    <w:rsid w:val="00655BD2"/>
    <w:rsid w:val="006561C7"/>
    <w:rsid w:val="0065667E"/>
    <w:rsid w:val="006574DF"/>
    <w:rsid w:val="0065776B"/>
    <w:rsid w:val="006652B7"/>
    <w:rsid w:val="0066553F"/>
    <w:rsid w:val="006669AA"/>
    <w:rsid w:val="0066775F"/>
    <w:rsid w:val="006679E8"/>
    <w:rsid w:val="006733BE"/>
    <w:rsid w:val="00676D42"/>
    <w:rsid w:val="00676EBB"/>
    <w:rsid w:val="00680B15"/>
    <w:rsid w:val="00687216"/>
    <w:rsid w:val="00687B44"/>
    <w:rsid w:val="00687C58"/>
    <w:rsid w:val="006971AA"/>
    <w:rsid w:val="006A3246"/>
    <w:rsid w:val="006A3FA6"/>
    <w:rsid w:val="006A7989"/>
    <w:rsid w:val="006A7A2E"/>
    <w:rsid w:val="006B3A04"/>
    <w:rsid w:val="006B3BE9"/>
    <w:rsid w:val="006B5625"/>
    <w:rsid w:val="006C0469"/>
    <w:rsid w:val="006C1A41"/>
    <w:rsid w:val="006C1FF7"/>
    <w:rsid w:val="006C4DB9"/>
    <w:rsid w:val="006C7350"/>
    <w:rsid w:val="006D1D65"/>
    <w:rsid w:val="006E09B9"/>
    <w:rsid w:val="006E7D46"/>
    <w:rsid w:val="006F014B"/>
    <w:rsid w:val="006F1B68"/>
    <w:rsid w:val="006F2BAE"/>
    <w:rsid w:val="006F4B34"/>
    <w:rsid w:val="006F510F"/>
    <w:rsid w:val="006F5540"/>
    <w:rsid w:val="006F5703"/>
    <w:rsid w:val="006F6E32"/>
    <w:rsid w:val="006F7116"/>
    <w:rsid w:val="00701CAD"/>
    <w:rsid w:val="00702525"/>
    <w:rsid w:val="00703CD1"/>
    <w:rsid w:val="0070443E"/>
    <w:rsid w:val="00706FBC"/>
    <w:rsid w:val="007106C5"/>
    <w:rsid w:val="007124C4"/>
    <w:rsid w:val="007139E7"/>
    <w:rsid w:val="00714E1D"/>
    <w:rsid w:val="0071687F"/>
    <w:rsid w:val="00717233"/>
    <w:rsid w:val="007177A1"/>
    <w:rsid w:val="00724B7F"/>
    <w:rsid w:val="007253B7"/>
    <w:rsid w:val="007255C2"/>
    <w:rsid w:val="00725734"/>
    <w:rsid w:val="007269E1"/>
    <w:rsid w:val="007320BC"/>
    <w:rsid w:val="0073258A"/>
    <w:rsid w:val="00734994"/>
    <w:rsid w:val="00740259"/>
    <w:rsid w:val="00740CC7"/>
    <w:rsid w:val="00751225"/>
    <w:rsid w:val="00752184"/>
    <w:rsid w:val="00752C2B"/>
    <w:rsid w:val="007565AD"/>
    <w:rsid w:val="00756981"/>
    <w:rsid w:val="00757173"/>
    <w:rsid w:val="00757310"/>
    <w:rsid w:val="00763003"/>
    <w:rsid w:val="00765680"/>
    <w:rsid w:val="00765D82"/>
    <w:rsid w:val="00765E1C"/>
    <w:rsid w:val="00766E68"/>
    <w:rsid w:val="00771BEE"/>
    <w:rsid w:val="00774E0C"/>
    <w:rsid w:val="007756F4"/>
    <w:rsid w:val="00775B07"/>
    <w:rsid w:val="00782573"/>
    <w:rsid w:val="00784165"/>
    <w:rsid w:val="00784C98"/>
    <w:rsid w:val="00790FFA"/>
    <w:rsid w:val="007913D4"/>
    <w:rsid w:val="0079179C"/>
    <w:rsid w:val="0079638C"/>
    <w:rsid w:val="007A042E"/>
    <w:rsid w:val="007A0C88"/>
    <w:rsid w:val="007A16AF"/>
    <w:rsid w:val="007A1A17"/>
    <w:rsid w:val="007A1D55"/>
    <w:rsid w:val="007A31BC"/>
    <w:rsid w:val="007A4755"/>
    <w:rsid w:val="007A566A"/>
    <w:rsid w:val="007A6FA5"/>
    <w:rsid w:val="007A73FE"/>
    <w:rsid w:val="007A7484"/>
    <w:rsid w:val="007B03AD"/>
    <w:rsid w:val="007B0AEF"/>
    <w:rsid w:val="007B0AF3"/>
    <w:rsid w:val="007B0DC4"/>
    <w:rsid w:val="007B5D35"/>
    <w:rsid w:val="007B7126"/>
    <w:rsid w:val="007B7383"/>
    <w:rsid w:val="007C3738"/>
    <w:rsid w:val="007C5737"/>
    <w:rsid w:val="007C79BB"/>
    <w:rsid w:val="007C7CD6"/>
    <w:rsid w:val="007D06F1"/>
    <w:rsid w:val="007D1C86"/>
    <w:rsid w:val="007D2569"/>
    <w:rsid w:val="007D4AD8"/>
    <w:rsid w:val="007E0659"/>
    <w:rsid w:val="007E1F73"/>
    <w:rsid w:val="007E3FA3"/>
    <w:rsid w:val="007E52F7"/>
    <w:rsid w:val="007E6DF6"/>
    <w:rsid w:val="007F085B"/>
    <w:rsid w:val="007F5161"/>
    <w:rsid w:val="00803A3E"/>
    <w:rsid w:val="00806C4C"/>
    <w:rsid w:val="00806EE9"/>
    <w:rsid w:val="008134F8"/>
    <w:rsid w:val="008150B0"/>
    <w:rsid w:val="00817FF7"/>
    <w:rsid w:val="00820060"/>
    <w:rsid w:val="00820DFA"/>
    <w:rsid w:val="00821FE5"/>
    <w:rsid w:val="00827D5F"/>
    <w:rsid w:val="00830177"/>
    <w:rsid w:val="00830237"/>
    <w:rsid w:val="00833DCD"/>
    <w:rsid w:val="00834BF2"/>
    <w:rsid w:val="008421CC"/>
    <w:rsid w:val="0084371D"/>
    <w:rsid w:val="008443B3"/>
    <w:rsid w:val="00850462"/>
    <w:rsid w:val="00851E36"/>
    <w:rsid w:val="00857622"/>
    <w:rsid w:val="00857FB4"/>
    <w:rsid w:val="008616CD"/>
    <w:rsid w:val="008628F0"/>
    <w:rsid w:val="00863D18"/>
    <w:rsid w:val="00864348"/>
    <w:rsid w:val="00865F8B"/>
    <w:rsid w:val="008661D9"/>
    <w:rsid w:val="008662BE"/>
    <w:rsid w:val="00872D1C"/>
    <w:rsid w:val="00873130"/>
    <w:rsid w:val="008748C2"/>
    <w:rsid w:val="00875324"/>
    <w:rsid w:val="00876838"/>
    <w:rsid w:val="0088098A"/>
    <w:rsid w:val="008921CE"/>
    <w:rsid w:val="00892358"/>
    <w:rsid w:val="00894982"/>
    <w:rsid w:val="00897DA3"/>
    <w:rsid w:val="008A2A48"/>
    <w:rsid w:val="008A4545"/>
    <w:rsid w:val="008A673C"/>
    <w:rsid w:val="008A7D8D"/>
    <w:rsid w:val="008B2F77"/>
    <w:rsid w:val="008B3956"/>
    <w:rsid w:val="008B4577"/>
    <w:rsid w:val="008C34B8"/>
    <w:rsid w:val="008C4417"/>
    <w:rsid w:val="008C52D3"/>
    <w:rsid w:val="008C69E6"/>
    <w:rsid w:val="008C6E0C"/>
    <w:rsid w:val="008C722F"/>
    <w:rsid w:val="008D0ABA"/>
    <w:rsid w:val="008D6C0B"/>
    <w:rsid w:val="008D6DB0"/>
    <w:rsid w:val="008E067E"/>
    <w:rsid w:val="008E3EAD"/>
    <w:rsid w:val="008E67C1"/>
    <w:rsid w:val="008E7E63"/>
    <w:rsid w:val="008F4755"/>
    <w:rsid w:val="008F4E08"/>
    <w:rsid w:val="008F6291"/>
    <w:rsid w:val="008F7062"/>
    <w:rsid w:val="009004F9"/>
    <w:rsid w:val="00900EB7"/>
    <w:rsid w:val="00905B50"/>
    <w:rsid w:val="00912AB5"/>
    <w:rsid w:val="00912FFC"/>
    <w:rsid w:val="00913CB5"/>
    <w:rsid w:val="0091511F"/>
    <w:rsid w:val="009152B5"/>
    <w:rsid w:val="009155E1"/>
    <w:rsid w:val="00920BD8"/>
    <w:rsid w:val="009214C2"/>
    <w:rsid w:val="00922FD1"/>
    <w:rsid w:val="00924960"/>
    <w:rsid w:val="00925CE2"/>
    <w:rsid w:val="00931572"/>
    <w:rsid w:val="00931D49"/>
    <w:rsid w:val="00932EE2"/>
    <w:rsid w:val="00936F63"/>
    <w:rsid w:val="00942D0C"/>
    <w:rsid w:val="0094338A"/>
    <w:rsid w:val="0094481E"/>
    <w:rsid w:val="00953B26"/>
    <w:rsid w:val="00960EA7"/>
    <w:rsid w:val="009635A6"/>
    <w:rsid w:val="00967268"/>
    <w:rsid w:val="00974911"/>
    <w:rsid w:val="0097541C"/>
    <w:rsid w:val="009754A9"/>
    <w:rsid w:val="0097663C"/>
    <w:rsid w:val="00980626"/>
    <w:rsid w:val="00983B00"/>
    <w:rsid w:val="009847A9"/>
    <w:rsid w:val="00984C86"/>
    <w:rsid w:val="009850C5"/>
    <w:rsid w:val="009861D1"/>
    <w:rsid w:val="0099089A"/>
    <w:rsid w:val="00991180"/>
    <w:rsid w:val="0099165D"/>
    <w:rsid w:val="009934A9"/>
    <w:rsid w:val="00995FF2"/>
    <w:rsid w:val="00996210"/>
    <w:rsid w:val="009A015B"/>
    <w:rsid w:val="009A0271"/>
    <w:rsid w:val="009A057D"/>
    <w:rsid w:val="009A09AC"/>
    <w:rsid w:val="009A1077"/>
    <w:rsid w:val="009A226B"/>
    <w:rsid w:val="009A3DC4"/>
    <w:rsid w:val="009B3D1A"/>
    <w:rsid w:val="009C00DA"/>
    <w:rsid w:val="009C1112"/>
    <w:rsid w:val="009C2308"/>
    <w:rsid w:val="009C2F5B"/>
    <w:rsid w:val="009C3B6B"/>
    <w:rsid w:val="009C5F16"/>
    <w:rsid w:val="009C6C95"/>
    <w:rsid w:val="009C6D61"/>
    <w:rsid w:val="009D0632"/>
    <w:rsid w:val="009D31C1"/>
    <w:rsid w:val="009D361B"/>
    <w:rsid w:val="009E102A"/>
    <w:rsid w:val="009E1F25"/>
    <w:rsid w:val="009E232B"/>
    <w:rsid w:val="009E48DC"/>
    <w:rsid w:val="009E58C0"/>
    <w:rsid w:val="009E7691"/>
    <w:rsid w:val="009E7F7E"/>
    <w:rsid w:val="009F7553"/>
    <w:rsid w:val="009F777C"/>
    <w:rsid w:val="00A01EE9"/>
    <w:rsid w:val="00A03B70"/>
    <w:rsid w:val="00A04730"/>
    <w:rsid w:val="00A1137D"/>
    <w:rsid w:val="00A13DBD"/>
    <w:rsid w:val="00A150CC"/>
    <w:rsid w:val="00A171EF"/>
    <w:rsid w:val="00A20600"/>
    <w:rsid w:val="00A23B46"/>
    <w:rsid w:val="00A26243"/>
    <w:rsid w:val="00A262D9"/>
    <w:rsid w:val="00A26569"/>
    <w:rsid w:val="00A26D8E"/>
    <w:rsid w:val="00A3254C"/>
    <w:rsid w:val="00A32D07"/>
    <w:rsid w:val="00A32DEE"/>
    <w:rsid w:val="00A349E2"/>
    <w:rsid w:val="00A456CD"/>
    <w:rsid w:val="00A47921"/>
    <w:rsid w:val="00A50341"/>
    <w:rsid w:val="00A528FE"/>
    <w:rsid w:val="00A54799"/>
    <w:rsid w:val="00A5540F"/>
    <w:rsid w:val="00A56B37"/>
    <w:rsid w:val="00A573AE"/>
    <w:rsid w:val="00A57D8E"/>
    <w:rsid w:val="00A6331F"/>
    <w:rsid w:val="00A649D0"/>
    <w:rsid w:val="00A6602B"/>
    <w:rsid w:val="00A66A64"/>
    <w:rsid w:val="00A74410"/>
    <w:rsid w:val="00A7471E"/>
    <w:rsid w:val="00A75723"/>
    <w:rsid w:val="00A77C7C"/>
    <w:rsid w:val="00A800EF"/>
    <w:rsid w:val="00A8583B"/>
    <w:rsid w:val="00A928CD"/>
    <w:rsid w:val="00A92A11"/>
    <w:rsid w:val="00A92C3E"/>
    <w:rsid w:val="00A93E8A"/>
    <w:rsid w:val="00A9492D"/>
    <w:rsid w:val="00A97712"/>
    <w:rsid w:val="00AA0CE7"/>
    <w:rsid w:val="00AA12C9"/>
    <w:rsid w:val="00AA2BC3"/>
    <w:rsid w:val="00AB0099"/>
    <w:rsid w:val="00AB0D9D"/>
    <w:rsid w:val="00AB19E7"/>
    <w:rsid w:val="00AB266D"/>
    <w:rsid w:val="00AB287F"/>
    <w:rsid w:val="00AB2DAB"/>
    <w:rsid w:val="00AB383F"/>
    <w:rsid w:val="00AC251F"/>
    <w:rsid w:val="00AC498C"/>
    <w:rsid w:val="00AC6218"/>
    <w:rsid w:val="00AC7B6A"/>
    <w:rsid w:val="00AC7EAB"/>
    <w:rsid w:val="00AD66AD"/>
    <w:rsid w:val="00AD7C42"/>
    <w:rsid w:val="00AE0820"/>
    <w:rsid w:val="00AE09E6"/>
    <w:rsid w:val="00AE3022"/>
    <w:rsid w:val="00AE51D5"/>
    <w:rsid w:val="00AE5BF5"/>
    <w:rsid w:val="00AE5D61"/>
    <w:rsid w:val="00AE7BFA"/>
    <w:rsid w:val="00AF036D"/>
    <w:rsid w:val="00AF1A45"/>
    <w:rsid w:val="00AF308B"/>
    <w:rsid w:val="00B0646F"/>
    <w:rsid w:val="00B078D7"/>
    <w:rsid w:val="00B1181A"/>
    <w:rsid w:val="00B17B46"/>
    <w:rsid w:val="00B2181B"/>
    <w:rsid w:val="00B235C3"/>
    <w:rsid w:val="00B256E8"/>
    <w:rsid w:val="00B30698"/>
    <w:rsid w:val="00B31578"/>
    <w:rsid w:val="00B325D4"/>
    <w:rsid w:val="00B354CB"/>
    <w:rsid w:val="00B361AE"/>
    <w:rsid w:val="00B41851"/>
    <w:rsid w:val="00B42A38"/>
    <w:rsid w:val="00B42BD0"/>
    <w:rsid w:val="00B466A7"/>
    <w:rsid w:val="00B479B8"/>
    <w:rsid w:val="00B53760"/>
    <w:rsid w:val="00B54521"/>
    <w:rsid w:val="00B5526B"/>
    <w:rsid w:val="00B63201"/>
    <w:rsid w:val="00B64D32"/>
    <w:rsid w:val="00B70B4F"/>
    <w:rsid w:val="00B70D2B"/>
    <w:rsid w:val="00B71E3F"/>
    <w:rsid w:val="00B749BD"/>
    <w:rsid w:val="00B772E7"/>
    <w:rsid w:val="00B8477A"/>
    <w:rsid w:val="00B84ABB"/>
    <w:rsid w:val="00B87F7E"/>
    <w:rsid w:val="00B90EB6"/>
    <w:rsid w:val="00B94F72"/>
    <w:rsid w:val="00BA2C10"/>
    <w:rsid w:val="00BA35F7"/>
    <w:rsid w:val="00BA4E47"/>
    <w:rsid w:val="00BA6993"/>
    <w:rsid w:val="00BA7289"/>
    <w:rsid w:val="00BA76FB"/>
    <w:rsid w:val="00BB3FEB"/>
    <w:rsid w:val="00BC3D71"/>
    <w:rsid w:val="00BC4D6C"/>
    <w:rsid w:val="00BC5D0A"/>
    <w:rsid w:val="00BC67FD"/>
    <w:rsid w:val="00BD0A8C"/>
    <w:rsid w:val="00BD6DDC"/>
    <w:rsid w:val="00BE02AB"/>
    <w:rsid w:val="00BE2049"/>
    <w:rsid w:val="00BE4EAD"/>
    <w:rsid w:val="00BE65AD"/>
    <w:rsid w:val="00BE6930"/>
    <w:rsid w:val="00BF3982"/>
    <w:rsid w:val="00BF4D79"/>
    <w:rsid w:val="00C01258"/>
    <w:rsid w:val="00C01A87"/>
    <w:rsid w:val="00C04655"/>
    <w:rsid w:val="00C047AC"/>
    <w:rsid w:val="00C0740D"/>
    <w:rsid w:val="00C113D9"/>
    <w:rsid w:val="00C12CEB"/>
    <w:rsid w:val="00C13C5F"/>
    <w:rsid w:val="00C16400"/>
    <w:rsid w:val="00C17DC8"/>
    <w:rsid w:val="00C21C95"/>
    <w:rsid w:val="00C24B8E"/>
    <w:rsid w:val="00C27B16"/>
    <w:rsid w:val="00C31FDE"/>
    <w:rsid w:val="00C34721"/>
    <w:rsid w:val="00C34A62"/>
    <w:rsid w:val="00C40292"/>
    <w:rsid w:val="00C43EA3"/>
    <w:rsid w:val="00C46B76"/>
    <w:rsid w:val="00C46EF0"/>
    <w:rsid w:val="00C517A3"/>
    <w:rsid w:val="00C56F35"/>
    <w:rsid w:val="00C605B8"/>
    <w:rsid w:val="00C61DAD"/>
    <w:rsid w:val="00C62DC1"/>
    <w:rsid w:val="00C64189"/>
    <w:rsid w:val="00C66255"/>
    <w:rsid w:val="00C671FE"/>
    <w:rsid w:val="00C70090"/>
    <w:rsid w:val="00C70823"/>
    <w:rsid w:val="00C70DFC"/>
    <w:rsid w:val="00C773CC"/>
    <w:rsid w:val="00C81AAD"/>
    <w:rsid w:val="00C82895"/>
    <w:rsid w:val="00C84CA6"/>
    <w:rsid w:val="00C85AE4"/>
    <w:rsid w:val="00C92802"/>
    <w:rsid w:val="00C931DF"/>
    <w:rsid w:val="00C9345F"/>
    <w:rsid w:val="00C9350E"/>
    <w:rsid w:val="00C935AF"/>
    <w:rsid w:val="00C966DA"/>
    <w:rsid w:val="00CA0606"/>
    <w:rsid w:val="00CA0628"/>
    <w:rsid w:val="00CA0852"/>
    <w:rsid w:val="00CA09C4"/>
    <w:rsid w:val="00CA32A6"/>
    <w:rsid w:val="00CA3610"/>
    <w:rsid w:val="00CB0EC6"/>
    <w:rsid w:val="00CB1775"/>
    <w:rsid w:val="00CB18AB"/>
    <w:rsid w:val="00CB2AD0"/>
    <w:rsid w:val="00CB3DA5"/>
    <w:rsid w:val="00CB680F"/>
    <w:rsid w:val="00CB6F9A"/>
    <w:rsid w:val="00CC131C"/>
    <w:rsid w:val="00CC17C6"/>
    <w:rsid w:val="00CC26FD"/>
    <w:rsid w:val="00CC30C4"/>
    <w:rsid w:val="00CC321E"/>
    <w:rsid w:val="00CC4FB3"/>
    <w:rsid w:val="00CC5B5E"/>
    <w:rsid w:val="00CD4DEA"/>
    <w:rsid w:val="00CD5CD2"/>
    <w:rsid w:val="00CD7409"/>
    <w:rsid w:val="00CE0E0B"/>
    <w:rsid w:val="00CE1CA9"/>
    <w:rsid w:val="00CF2E00"/>
    <w:rsid w:val="00CF3114"/>
    <w:rsid w:val="00CF31B5"/>
    <w:rsid w:val="00CF37AD"/>
    <w:rsid w:val="00CF38DF"/>
    <w:rsid w:val="00CF51B0"/>
    <w:rsid w:val="00D0190C"/>
    <w:rsid w:val="00D03A1A"/>
    <w:rsid w:val="00D049AD"/>
    <w:rsid w:val="00D04A96"/>
    <w:rsid w:val="00D11B1E"/>
    <w:rsid w:val="00D12DCB"/>
    <w:rsid w:val="00D13520"/>
    <w:rsid w:val="00D1580A"/>
    <w:rsid w:val="00D15BBD"/>
    <w:rsid w:val="00D167E0"/>
    <w:rsid w:val="00D16E0E"/>
    <w:rsid w:val="00D25F3B"/>
    <w:rsid w:val="00D26E72"/>
    <w:rsid w:val="00D360C7"/>
    <w:rsid w:val="00D377C9"/>
    <w:rsid w:val="00D37CE5"/>
    <w:rsid w:val="00D37F98"/>
    <w:rsid w:val="00D41DFC"/>
    <w:rsid w:val="00D47602"/>
    <w:rsid w:val="00D520A8"/>
    <w:rsid w:val="00D54B4C"/>
    <w:rsid w:val="00D571F2"/>
    <w:rsid w:val="00D57623"/>
    <w:rsid w:val="00D61FFA"/>
    <w:rsid w:val="00D6265E"/>
    <w:rsid w:val="00D64747"/>
    <w:rsid w:val="00D66105"/>
    <w:rsid w:val="00D67A67"/>
    <w:rsid w:val="00D734BC"/>
    <w:rsid w:val="00D7367F"/>
    <w:rsid w:val="00D75189"/>
    <w:rsid w:val="00D75C4F"/>
    <w:rsid w:val="00D832E7"/>
    <w:rsid w:val="00D8527D"/>
    <w:rsid w:val="00D86869"/>
    <w:rsid w:val="00D931EB"/>
    <w:rsid w:val="00D95133"/>
    <w:rsid w:val="00D95BB7"/>
    <w:rsid w:val="00DA0F2D"/>
    <w:rsid w:val="00DA3446"/>
    <w:rsid w:val="00DA407B"/>
    <w:rsid w:val="00DA69B9"/>
    <w:rsid w:val="00DA6D07"/>
    <w:rsid w:val="00DB0192"/>
    <w:rsid w:val="00DB08D2"/>
    <w:rsid w:val="00DB0917"/>
    <w:rsid w:val="00DB18E6"/>
    <w:rsid w:val="00DB38C2"/>
    <w:rsid w:val="00DB6AAA"/>
    <w:rsid w:val="00DC4275"/>
    <w:rsid w:val="00DC7817"/>
    <w:rsid w:val="00DD087E"/>
    <w:rsid w:val="00DD1F87"/>
    <w:rsid w:val="00DD3221"/>
    <w:rsid w:val="00DD4A3D"/>
    <w:rsid w:val="00DD6A72"/>
    <w:rsid w:val="00DD6AFA"/>
    <w:rsid w:val="00DE2A85"/>
    <w:rsid w:val="00DE4513"/>
    <w:rsid w:val="00DE7E9F"/>
    <w:rsid w:val="00DF1412"/>
    <w:rsid w:val="00DF1E4F"/>
    <w:rsid w:val="00DF3774"/>
    <w:rsid w:val="00DF3C21"/>
    <w:rsid w:val="00DF6019"/>
    <w:rsid w:val="00DF60A9"/>
    <w:rsid w:val="00E02AD0"/>
    <w:rsid w:val="00E04EC1"/>
    <w:rsid w:val="00E05728"/>
    <w:rsid w:val="00E07DA9"/>
    <w:rsid w:val="00E1115F"/>
    <w:rsid w:val="00E14436"/>
    <w:rsid w:val="00E15582"/>
    <w:rsid w:val="00E15844"/>
    <w:rsid w:val="00E1747B"/>
    <w:rsid w:val="00E209B5"/>
    <w:rsid w:val="00E21DA4"/>
    <w:rsid w:val="00E225B7"/>
    <w:rsid w:val="00E22C5A"/>
    <w:rsid w:val="00E23388"/>
    <w:rsid w:val="00E258A2"/>
    <w:rsid w:val="00E25ADF"/>
    <w:rsid w:val="00E31A52"/>
    <w:rsid w:val="00E32870"/>
    <w:rsid w:val="00E40D00"/>
    <w:rsid w:val="00E420A9"/>
    <w:rsid w:val="00E43C8B"/>
    <w:rsid w:val="00E4541A"/>
    <w:rsid w:val="00E465E2"/>
    <w:rsid w:val="00E47251"/>
    <w:rsid w:val="00E47B34"/>
    <w:rsid w:val="00E541DF"/>
    <w:rsid w:val="00E547F3"/>
    <w:rsid w:val="00E67EF3"/>
    <w:rsid w:val="00E71D56"/>
    <w:rsid w:val="00E805ED"/>
    <w:rsid w:val="00E83E23"/>
    <w:rsid w:val="00E84327"/>
    <w:rsid w:val="00E84D09"/>
    <w:rsid w:val="00E850AE"/>
    <w:rsid w:val="00E8528A"/>
    <w:rsid w:val="00E860F1"/>
    <w:rsid w:val="00E87C9F"/>
    <w:rsid w:val="00E9150D"/>
    <w:rsid w:val="00E92B8B"/>
    <w:rsid w:val="00E92F19"/>
    <w:rsid w:val="00E94F47"/>
    <w:rsid w:val="00E95643"/>
    <w:rsid w:val="00E973EC"/>
    <w:rsid w:val="00EA0D88"/>
    <w:rsid w:val="00EA5191"/>
    <w:rsid w:val="00EA622A"/>
    <w:rsid w:val="00EB062C"/>
    <w:rsid w:val="00EB3EAD"/>
    <w:rsid w:val="00EB5115"/>
    <w:rsid w:val="00EB7027"/>
    <w:rsid w:val="00EC1694"/>
    <w:rsid w:val="00EC400B"/>
    <w:rsid w:val="00EC4F83"/>
    <w:rsid w:val="00ED240B"/>
    <w:rsid w:val="00ED5722"/>
    <w:rsid w:val="00EE2B2F"/>
    <w:rsid w:val="00EE6810"/>
    <w:rsid w:val="00EF235E"/>
    <w:rsid w:val="00EF27F3"/>
    <w:rsid w:val="00EF369A"/>
    <w:rsid w:val="00EF754E"/>
    <w:rsid w:val="00F00513"/>
    <w:rsid w:val="00F00E24"/>
    <w:rsid w:val="00F01496"/>
    <w:rsid w:val="00F02C3A"/>
    <w:rsid w:val="00F03AB1"/>
    <w:rsid w:val="00F05746"/>
    <w:rsid w:val="00F0772F"/>
    <w:rsid w:val="00F07938"/>
    <w:rsid w:val="00F11D54"/>
    <w:rsid w:val="00F21FA1"/>
    <w:rsid w:val="00F253F2"/>
    <w:rsid w:val="00F27754"/>
    <w:rsid w:val="00F31C13"/>
    <w:rsid w:val="00F3385F"/>
    <w:rsid w:val="00F35FA6"/>
    <w:rsid w:val="00F4075C"/>
    <w:rsid w:val="00F44EF6"/>
    <w:rsid w:val="00F5126D"/>
    <w:rsid w:val="00F524E9"/>
    <w:rsid w:val="00F55FBE"/>
    <w:rsid w:val="00F56A39"/>
    <w:rsid w:val="00F57BF5"/>
    <w:rsid w:val="00F600C0"/>
    <w:rsid w:val="00F62BF5"/>
    <w:rsid w:val="00F62FCF"/>
    <w:rsid w:val="00F669CB"/>
    <w:rsid w:val="00F71220"/>
    <w:rsid w:val="00F714D1"/>
    <w:rsid w:val="00F73527"/>
    <w:rsid w:val="00F73ACE"/>
    <w:rsid w:val="00F742D8"/>
    <w:rsid w:val="00F74FB7"/>
    <w:rsid w:val="00F7520D"/>
    <w:rsid w:val="00F81AF8"/>
    <w:rsid w:val="00F85710"/>
    <w:rsid w:val="00F86692"/>
    <w:rsid w:val="00F87710"/>
    <w:rsid w:val="00F9004E"/>
    <w:rsid w:val="00F91B5D"/>
    <w:rsid w:val="00F92984"/>
    <w:rsid w:val="00F95A8E"/>
    <w:rsid w:val="00FA2115"/>
    <w:rsid w:val="00FA21D9"/>
    <w:rsid w:val="00FA2ACB"/>
    <w:rsid w:val="00FA31F3"/>
    <w:rsid w:val="00FA4C78"/>
    <w:rsid w:val="00FA5B47"/>
    <w:rsid w:val="00FA6223"/>
    <w:rsid w:val="00FA66C2"/>
    <w:rsid w:val="00FB1A8E"/>
    <w:rsid w:val="00FB772F"/>
    <w:rsid w:val="00FC2D6A"/>
    <w:rsid w:val="00FC3E25"/>
    <w:rsid w:val="00FD0D4D"/>
    <w:rsid w:val="00FD39B7"/>
    <w:rsid w:val="00FD5674"/>
    <w:rsid w:val="00FE285A"/>
    <w:rsid w:val="00FE2BD8"/>
    <w:rsid w:val="00FE3335"/>
    <w:rsid w:val="00FE5B6C"/>
    <w:rsid w:val="00FF182D"/>
    <w:rsid w:val="00FF23C0"/>
    <w:rsid w:val="00FF625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3A5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66D"/>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8E67C1"/>
    <w:pPr>
      <w:keepNext/>
      <w:keepLines/>
      <w:spacing w:before="480"/>
      <w:outlineLvl w:val="0"/>
    </w:pPr>
    <w:rPr>
      <w:rFonts w:asciiTheme="majorHAnsi" w:eastAsiaTheme="majorEastAsia" w:hAnsiTheme="majorHAnsi"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466F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266D"/>
    <w:pPr>
      <w:spacing w:after="200" w:line="276" w:lineRule="auto"/>
      <w:ind w:left="720"/>
      <w:contextualSpacing/>
    </w:pPr>
  </w:style>
  <w:style w:type="character" w:customStyle="1" w:styleId="Heading1Char">
    <w:name w:val="Heading 1 Char"/>
    <w:basedOn w:val="DefaultParagraphFont"/>
    <w:link w:val="Heading1"/>
    <w:uiPriority w:val="9"/>
    <w:rsid w:val="008E67C1"/>
    <w:rPr>
      <w:rFonts w:asciiTheme="majorHAnsi" w:eastAsiaTheme="majorEastAsia" w:hAnsiTheme="majorHAnsi" w:cstheme="majorBidi"/>
      <w:b/>
      <w:bCs/>
      <w:color w:val="365F91" w:themeColor="accent1" w:themeShade="BF"/>
      <w:sz w:val="32"/>
      <w:szCs w:val="28"/>
    </w:rPr>
  </w:style>
  <w:style w:type="paragraph" w:styleId="Title">
    <w:name w:val="Title"/>
    <w:basedOn w:val="Normal"/>
    <w:next w:val="Normal"/>
    <w:link w:val="TitleChar"/>
    <w:uiPriority w:val="10"/>
    <w:qFormat/>
    <w:rsid w:val="0076568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5680"/>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65680"/>
    <w:rPr>
      <w:rFonts w:ascii="Tahoma" w:hAnsi="Tahoma" w:cs="Tahoma"/>
      <w:sz w:val="16"/>
      <w:szCs w:val="16"/>
    </w:rPr>
  </w:style>
  <w:style w:type="character" w:customStyle="1" w:styleId="BalloonTextChar">
    <w:name w:val="Balloon Text Char"/>
    <w:basedOn w:val="DefaultParagraphFont"/>
    <w:link w:val="BalloonText"/>
    <w:uiPriority w:val="99"/>
    <w:semiHidden/>
    <w:rsid w:val="00765680"/>
    <w:rPr>
      <w:rFonts w:ascii="Tahoma" w:hAnsi="Tahoma" w:cs="Tahoma"/>
      <w:sz w:val="16"/>
      <w:szCs w:val="16"/>
    </w:rPr>
  </w:style>
  <w:style w:type="paragraph" w:styleId="Header">
    <w:name w:val="header"/>
    <w:basedOn w:val="Normal"/>
    <w:link w:val="HeaderChar"/>
    <w:uiPriority w:val="99"/>
    <w:unhideWhenUsed/>
    <w:rsid w:val="00765680"/>
    <w:pPr>
      <w:tabs>
        <w:tab w:val="center" w:pos="4513"/>
        <w:tab w:val="right" w:pos="9026"/>
      </w:tabs>
    </w:pPr>
  </w:style>
  <w:style w:type="character" w:customStyle="1" w:styleId="HeaderChar">
    <w:name w:val="Header Char"/>
    <w:basedOn w:val="DefaultParagraphFont"/>
    <w:link w:val="Header"/>
    <w:uiPriority w:val="99"/>
    <w:rsid w:val="00765680"/>
    <w:rPr>
      <w:rFonts w:ascii="Calibri" w:hAnsi="Calibri" w:cs="Times New Roman"/>
    </w:rPr>
  </w:style>
  <w:style w:type="paragraph" w:styleId="Footer">
    <w:name w:val="footer"/>
    <w:basedOn w:val="Normal"/>
    <w:link w:val="FooterChar"/>
    <w:uiPriority w:val="99"/>
    <w:unhideWhenUsed/>
    <w:rsid w:val="00765680"/>
    <w:pPr>
      <w:tabs>
        <w:tab w:val="center" w:pos="4513"/>
        <w:tab w:val="right" w:pos="9026"/>
      </w:tabs>
    </w:pPr>
  </w:style>
  <w:style w:type="character" w:customStyle="1" w:styleId="FooterChar">
    <w:name w:val="Footer Char"/>
    <w:basedOn w:val="DefaultParagraphFont"/>
    <w:link w:val="Footer"/>
    <w:uiPriority w:val="99"/>
    <w:rsid w:val="00765680"/>
    <w:rPr>
      <w:rFonts w:ascii="Calibri" w:hAnsi="Calibri" w:cs="Times New Roman"/>
    </w:rPr>
  </w:style>
  <w:style w:type="table" w:styleId="TableGrid">
    <w:name w:val="Table Grid"/>
    <w:basedOn w:val="TableNormal"/>
    <w:uiPriority w:val="59"/>
    <w:rsid w:val="00AF1A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66F3"/>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435F5"/>
    <w:rPr>
      <w:color w:val="0000FF" w:themeColor="hyperlink"/>
      <w:u w:val="single"/>
    </w:rPr>
  </w:style>
  <w:style w:type="character" w:styleId="CommentReference">
    <w:name w:val="annotation reference"/>
    <w:basedOn w:val="DefaultParagraphFont"/>
    <w:uiPriority w:val="99"/>
    <w:semiHidden/>
    <w:unhideWhenUsed/>
    <w:rsid w:val="002435F5"/>
    <w:rPr>
      <w:sz w:val="16"/>
      <w:szCs w:val="16"/>
    </w:rPr>
  </w:style>
  <w:style w:type="paragraph" w:styleId="CommentText">
    <w:name w:val="annotation text"/>
    <w:basedOn w:val="Normal"/>
    <w:link w:val="CommentTextChar"/>
    <w:uiPriority w:val="99"/>
    <w:semiHidden/>
    <w:unhideWhenUsed/>
    <w:rsid w:val="002435F5"/>
    <w:rPr>
      <w:sz w:val="20"/>
      <w:szCs w:val="20"/>
    </w:rPr>
  </w:style>
  <w:style w:type="character" w:customStyle="1" w:styleId="CommentTextChar">
    <w:name w:val="Comment Text Char"/>
    <w:basedOn w:val="DefaultParagraphFont"/>
    <w:link w:val="CommentText"/>
    <w:uiPriority w:val="99"/>
    <w:semiHidden/>
    <w:rsid w:val="002435F5"/>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435F5"/>
    <w:rPr>
      <w:b/>
      <w:bCs/>
    </w:rPr>
  </w:style>
  <w:style w:type="character" w:customStyle="1" w:styleId="CommentSubjectChar">
    <w:name w:val="Comment Subject Char"/>
    <w:basedOn w:val="CommentTextChar"/>
    <w:link w:val="CommentSubject"/>
    <w:uiPriority w:val="99"/>
    <w:semiHidden/>
    <w:rsid w:val="002435F5"/>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6279">
      <w:bodyDiv w:val="1"/>
      <w:marLeft w:val="0"/>
      <w:marRight w:val="0"/>
      <w:marTop w:val="0"/>
      <w:marBottom w:val="0"/>
      <w:divBdr>
        <w:top w:val="none" w:sz="0" w:space="0" w:color="auto"/>
        <w:left w:val="none" w:sz="0" w:space="0" w:color="auto"/>
        <w:bottom w:val="none" w:sz="0" w:space="0" w:color="auto"/>
        <w:right w:val="none" w:sz="0" w:space="0" w:color="auto"/>
      </w:divBdr>
    </w:div>
    <w:div w:id="1942761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2051</Words>
  <Characters>11694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Ministry of Economic Development</Company>
  <LinksUpToDate>false</LinksUpToDate>
  <CharactersWithSpaces>13718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 Smith</dc:creator>
  <cp:lastModifiedBy>Cotton, Carl: MC</cp:lastModifiedBy>
  <cp:revision>2</cp:revision>
  <cp:lastPrinted>2017-08-30T13:52:00Z</cp:lastPrinted>
  <dcterms:created xsi:type="dcterms:W3CDTF">2017-08-30T14:49:00Z</dcterms:created>
  <dcterms:modified xsi:type="dcterms:W3CDTF">2017-08-30T14:49:00Z</dcterms:modified>
</cp:coreProperties>
</file>