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37A3" w14:textId="77777777" w:rsidR="00765680" w:rsidRDefault="00765680" w:rsidP="00765680"/>
    <w:p w14:paraId="08AD52EB" w14:textId="77777777" w:rsidR="00765680" w:rsidRPr="00765680" w:rsidRDefault="00765680" w:rsidP="00765680">
      <w:pPr>
        <w:jc w:val="center"/>
      </w:pPr>
    </w:p>
    <w:p w14:paraId="7C52A7A8" w14:textId="77777777" w:rsidR="00765680" w:rsidRDefault="00765680" w:rsidP="00765680"/>
    <w:p w14:paraId="09F6D145" w14:textId="77777777" w:rsidR="00DD1F87" w:rsidRDefault="00DD1F87" w:rsidP="00765680"/>
    <w:p w14:paraId="5CC6F3A5" w14:textId="77777777" w:rsidR="00DD1F87" w:rsidRDefault="00DD1F87" w:rsidP="00765680"/>
    <w:p w14:paraId="577DE7E4" w14:textId="77777777" w:rsidR="00B42A38" w:rsidRDefault="00B42A38" w:rsidP="00765680"/>
    <w:p w14:paraId="143605B3" w14:textId="77777777" w:rsidR="00765680" w:rsidRPr="00765680" w:rsidRDefault="00765680" w:rsidP="00765680"/>
    <w:p w14:paraId="77855EC5" w14:textId="4BC96486" w:rsidR="00765680" w:rsidRPr="00A32DEE" w:rsidRDefault="002F56C9" w:rsidP="00765680">
      <w:pPr>
        <w:pStyle w:val="Title"/>
        <w:jc w:val="center"/>
      </w:pPr>
      <w:r>
        <w:t>Working Group</w:t>
      </w:r>
      <w:r w:rsidRPr="00A32DEE">
        <w:t xml:space="preserve"> </w:t>
      </w:r>
      <w:r w:rsidR="00765680" w:rsidRPr="00A32DEE">
        <w:t>Report</w:t>
      </w:r>
      <w:r>
        <w:t xml:space="preserve"> - 2017</w:t>
      </w:r>
    </w:p>
    <w:p w14:paraId="529194FD" w14:textId="77777777" w:rsidR="00765680" w:rsidRDefault="00765680"/>
    <w:p w14:paraId="360D9DA1" w14:textId="77777777" w:rsidR="00AF1A45" w:rsidRDefault="00AF1A45"/>
    <w:p w14:paraId="143DAAB3" w14:textId="70B9188A" w:rsidR="00B42A38" w:rsidRPr="00A32DEE" w:rsidRDefault="004E4950" w:rsidP="00AF1A45">
      <w:pPr>
        <w:jc w:val="center"/>
        <w:rPr>
          <w:rFonts w:asciiTheme="majorHAnsi" w:hAnsiTheme="majorHAnsi"/>
          <w:color w:val="17365D" w:themeColor="text2" w:themeShade="BF"/>
          <w:sz w:val="36"/>
          <w:szCs w:val="52"/>
        </w:rPr>
      </w:pPr>
      <w:r w:rsidRPr="004E4950">
        <w:rPr>
          <w:rFonts w:asciiTheme="majorHAnsi" w:hAnsiTheme="majorHAnsi"/>
          <w:b/>
          <w:i/>
          <w:color w:val="17365D" w:themeColor="text2" w:themeShade="BF"/>
          <w:sz w:val="52"/>
          <w:szCs w:val="52"/>
        </w:rPr>
        <w:t>Working Group on Utility Measures</w:t>
      </w:r>
    </w:p>
    <w:p w14:paraId="1CCA5D8F" w14:textId="77777777" w:rsidR="00B42A38" w:rsidRPr="00A32DEE" w:rsidRDefault="00B42A38" w:rsidP="00B42A38">
      <w:pPr>
        <w:pStyle w:val="Title"/>
        <w:jc w:val="center"/>
        <w:rPr>
          <w:sz w:val="36"/>
        </w:rPr>
      </w:pPr>
    </w:p>
    <w:tbl>
      <w:tblPr>
        <w:tblStyle w:val="TableGrid"/>
        <w:tblW w:w="0" w:type="auto"/>
        <w:tblLook w:val="04A0" w:firstRow="1" w:lastRow="0" w:firstColumn="1" w:lastColumn="0" w:noHBand="0" w:noVBand="1"/>
      </w:tblPr>
      <w:tblGrid>
        <w:gridCol w:w="2660"/>
        <w:gridCol w:w="6015"/>
      </w:tblGrid>
      <w:tr w:rsidR="004E4950" w:rsidRPr="000E6A42" w14:paraId="345CC15A" w14:textId="77777777" w:rsidTr="004D0BA2">
        <w:tc>
          <w:tcPr>
            <w:tcW w:w="2660" w:type="dxa"/>
            <w:tcBorders>
              <w:top w:val="nil"/>
              <w:left w:val="nil"/>
              <w:bottom w:val="nil"/>
              <w:right w:val="nil"/>
            </w:tcBorders>
          </w:tcPr>
          <w:p w14:paraId="139DF396" w14:textId="77777777" w:rsidR="004E4950" w:rsidRPr="000E6A42" w:rsidRDefault="004E4950" w:rsidP="004D0BA2">
            <w:pPr>
              <w:spacing w:line="276" w:lineRule="auto"/>
              <w:rPr>
                <w:rFonts w:cs="Arial"/>
                <w:b/>
              </w:rPr>
            </w:pPr>
            <w:r w:rsidRPr="000E6A42">
              <w:rPr>
                <w:rFonts w:cs="Arial"/>
                <w:b/>
              </w:rPr>
              <w:t>Report developed/</w:t>
            </w:r>
          </w:p>
          <w:p w14:paraId="2D9686F4" w14:textId="77777777" w:rsidR="004E4950" w:rsidRPr="000E6A42" w:rsidRDefault="004E4950" w:rsidP="004D0BA2">
            <w:pPr>
              <w:spacing w:line="276" w:lineRule="auto"/>
              <w:rPr>
                <w:rFonts w:cs="Arial"/>
                <w:b/>
              </w:rPr>
            </w:pPr>
            <w:r w:rsidRPr="000E6A42">
              <w:rPr>
                <w:rFonts w:cs="Arial"/>
                <w:b/>
              </w:rPr>
              <w:t>approved by:</w:t>
            </w:r>
          </w:p>
        </w:tc>
        <w:tc>
          <w:tcPr>
            <w:tcW w:w="6015" w:type="dxa"/>
            <w:tcBorders>
              <w:top w:val="nil"/>
              <w:left w:val="nil"/>
              <w:bottom w:val="nil"/>
              <w:right w:val="nil"/>
            </w:tcBorders>
          </w:tcPr>
          <w:p w14:paraId="02C400BB" w14:textId="77777777" w:rsidR="004E4950" w:rsidRPr="000E6A42" w:rsidRDefault="004E4950" w:rsidP="004D0BA2">
            <w:pPr>
              <w:spacing w:line="276" w:lineRule="auto"/>
              <w:rPr>
                <w:rFonts w:cs="Arial"/>
              </w:rPr>
            </w:pPr>
            <w:r w:rsidRPr="000E6A42">
              <w:rPr>
                <w:rFonts w:cs="Arial"/>
              </w:rPr>
              <w:t>Alan E. Johnston</w:t>
            </w:r>
          </w:p>
        </w:tc>
      </w:tr>
      <w:tr w:rsidR="004E4950" w:rsidRPr="000E6A42" w14:paraId="6B6D9070" w14:textId="77777777" w:rsidTr="004D0BA2">
        <w:tc>
          <w:tcPr>
            <w:tcW w:w="2660" w:type="dxa"/>
            <w:tcBorders>
              <w:top w:val="nil"/>
              <w:left w:val="nil"/>
              <w:bottom w:val="nil"/>
              <w:right w:val="nil"/>
            </w:tcBorders>
          </w:tcPr>
          <w:p w14:paraId="6572751C" w14:textId="77777777" w:rsidR="004E4950" w:rsidRPr="000E6A42" w:rsidRDefault="004E4950" w:rsidP="004D0BA2">
            <w:pPr>
              <w:spacing w:after="200" w:line="276" w:lineRule="auto"/>
              <w:rPr>
                <w:rFonts w:cs="Arial"/>
                <w:b/>
              </w:rPr>
            </w:pPr>
            <w:r w:rsidRPr="000E6A42">
              <w:rPr>
                <w:rFonts w:cs="Arial"/>
                <w:b/>
              </w:rPr>
              <w:t>Position:</w:t>
            </w:r>
          </w:p>
        </w:tc>
        <w:tc>
          <w:tcPr>
            <w:tcW w:w="6015" w:type="dxa"/>
            <w:tcBorders>
              <w:top w:val="nil"/>
              <w:left w:val="nil"/>
              <w:bottom w:val="nil"/>
              <w:right w:val="nil"/>
            </w:tcBorders>
          </w:tcPr>
          <w:p w14:paraId="730394BA" w14:textId="77777777" w:rsidR="004E4950" w:rsidRPr="000E6A42" w:rsidRDefault="004E4950" w:rsidP="004D0BA2">
            <w:pPr>
              <w:spacing w:after="200" w:line="276" w:lineRule="auto"/>
              <w:rPr>
                <w:rFonts w:cs="Arial"/>
              </w:rPr>
            </w:pPr>
            <w:r w:rsidRPr="000E6A42">
              <w:rPr>
                <w:rFonts w:cs="Arial"/>
              </w:rPr>
              <w:t>President</w:t>
            </w:r>
          </w:p>
        </w:tc>
      </w:tr>
      <w:tr w:rsidR="004E4950" w:rsidRPr="000E6A42" w14:paraId="76D693E9" w14:textId="77777777" w:rsidTr="004D0BA2">
        <w:tc>
          <w:tcPr>
            <w:tcW w:w="2660" w:type="dxa"/>
            <w:tcBorders>
              <w:top w:val="nil"/>
              <w:left w:val="nil"/>
              <w:bottom w:val="nil"/>
              <w:right w:val="nil"/>
            </w:tcBorders>
          </w:tcPr>
          <w:p w14:paraId="654B160A" w14:textId="77777777" w:rsidR="004E4950" w:rsidRPr="000E6A42" w:rsidRDefault="004E4950" w:rsidP="004D0BA2">
            <w:pPr>
              <w:spacing w:after="200" w:line="276" w:lineRule="auto"/>
              <w:rPr>
                <w:rFonts w:cs="Arial"/>
                <w:b/>
              </w:rPr>
            </w:pPr>
            <w:r w:rsidRPr="000E6A42">
              <w:rPr>
                <w:rFonts w:cs="Arial"/>
                <w:b/>
              </w:rPr>
              <w:t>Organisation:</w:t>
            </w:r>
          </w:p>
        </w:tc>
        <w:tc>
          <w:tcPr>
            <w:tcW w:w="6015" w:type="dxa"/>
            <w:tcBorders>
              <w:top w:val="nil"/>
              <w:left w:val="nil"/>
              <w:bottom w:val="nil"/>
              <w:right w:val="nil"/>
            </w:tcBorders>
          </w:tcPr>
          <w:p w14:paraId="0C99797E" w14:textId="77777777" w:rsidR="004E4950" w:rsidRPr="000E6A42" w:rsidRDefault="004E4950" w:rsidP="004D0BA2">
            <w:pPr>
              <w:spacing w:after="200" w:line="276" w:lineRule="auto"/>
              <w:rPr>
                <w:rFonts w:cs="Arial"/>
              </w:rPr>
            </w:pPr>
            <w:r w:rsidRPr="000E6A42">
              <w:rPr>
                <w:rFonts w:cs="Arial"/>
              </w:rPr>
              <w:t>Measurement Canada</w:t>
            </w:r>
          </w:p>
        </w:tc>
      </w:tr>
      <w:tr w:rsidR="004E4950" w:rsidRPr="000E6A42" w14:paraId="609738E0" w14:textId="77777777" w:rsidTr="004D0BA2">
        <w:tc>
          <w:tcPr>
            <w:tcW w:w="2660" w:type="dxa"/>
            <w:tcBorders>
              <w:top w:val="nil"/>
              <w:left w:val="nil"/>
              <w:bottom w:val="nil"/>
              <w:right w:val="nil"/>
            </w:tcBorders>
          </w:tcPr>
          <w:p w14:paraId="20F55A3E" w14:textId="77777777" w:rsidR="004E4950" w:rsidRPr="000E6A42" w:rsidRDefault="004E4950" w:rsidP="004D0BA2">
            <w:pPr>
              <w:spacing w:line="276" w:lineRule="auto"/>
              <w:rPr>
                <w:rFonts w:cs="Arial"/>
                <w:b/>
              </w:rPr>
            </w:pPr>
            <w:r w:rsidRPr="000E6A42">
              <w:rPr>
                <w:rFonts w:cs="Arial"/>
                <w:b/>
              </w:rPr>
              <w:t>Contact details:</w:t>
            </w:r>
          </w:p>
        </w:tc>
        <w:tc>
          <w:tcPr>
            <w:tcW w:w="6015" w:type="dxa"/>
            <w:tcBorders>
              <w:top w:val="nil"/>
              <w:left w:val="nil"/>
              <w:bottom w:val="nil"/>
              <w:right w:val="nil"/>
            </w:tcBorders>
          </w:tcPr>
          <w:p w14:paraId="7F93B517" w14:textId="77777777" w:rsidR="004E4950" w:rsidRPr="000E6A42" w:rsidRDefault="004E4950" w:rsidP="004D0BA2">
            <w:pPr>
              <w:spacing w:line="276" w:lineRule="auto"/>
              <w:rPr>
                <w:rFonts w:cs="Arial"/>
              </w:rPr>
            </w:pPr>
            <w:r w:rsidRPr="000E6A42">
              <w:rPr>
                <w:rFonts w:cs="Arial"/>
              </w:rPr>
              <w:t>151 Tunney's Pasture Boulevard Standards Building</w:t>
            </w:r>
          </w:p>
        </w:tc>
      </w:tr>
      <w:tr w:rsidR="004E4950" w:rsidRPr="000E6A42" w14:paraId="767033C9" w14:textId="77777777" w:rsidTr="004D0BA2">
        <w:tc>
          <w:tcPr>
            <w:tcW w:w="2660" w:type="dxa"/>
            <w:tcBorders>
              <w:top w:val="nil"/>
              <w:left w:val="nil"/>
              <w:bottom w:val="nil"/>
              <w:right w:val="nil"/>
            </w:tcBorders>
          </w:tcPr>
          <w:p w14:paraId="246DDD71" w14:textId="77777777" w:rsidR="004E4950" w:rsidRPr="000E6A42" w:rsidRDefault="004E4950" w:rsidP="004D0BA2">
            <w:pPr>
              <w:spacing w:line="276" w:lineRule="auto"/>
              <w:rPr>
                <w:rFonts w:cs="Arial"/>
              </w:rPr>
            </w:pPr>
          </w:p>
        </w:tc>
        <w:tc>
          <w:tcPr>
            <w:tcW w:w="6015" w:type="dxa"/>
            <w:tcBorders>
              <w:top w:val="nil"/>
              <w:left w:val="nil"/>
              <w:bottom w:val="nil"/>
              <w:right w:val="nil"/>
            </w:tcBorders>
          </w:tcPr>
          <w:p w14:paraId="25D4F964" w14:textId="77777777" w:rsidR="004E4950" w:rsidRPr="000E6A42" w:rsidRDefault="004E4950" w:rsidP="004D0BA2">
            <w:pPr>
              <w:spacing w:line="276" w:lineRule="auto"/>
              <w:rPr>
                <w:rFonts w:cs="Arial"/>
              </w:rPr>
            </w:pPr>
            <w:r w:rsidRPr="000E6A42">
              <w:rPr>
                <w:rFonts w:cs="Arial"/>
              </w:rPr>
              <w:t>Room 253</w:t>
            </w:r>
          </w:p>
        </w:tc>
      </w:tr>
      <w:tr w:rsidR="004E4950" w:rsidRPr="000E6A42" w14:paraId="54878C2D" w14:textId="77777777" w:rsidTr="004D0BA2">
        <w:tc>
          <w:tcPr>
            <w:tcW w:w="2660" w:type="dxa"/>
            <w:tcBorders>
              <w:top w:val="nil"/>
              <w:left w:val="nil"/>
              <w:bottom w:val="nil"/>
              <w:right w:val="nil"/>
            </w:tcBorders>
          </w:tcPr>
          <w:p w14:paraId="497FAAA4" w14:textId="77777777" w:rsidR="004E4950" w:rsidRPr="000E6A42" w:rsidRDefault="004E4950" w:rsidP="004D0BA2">
            <w:pPr>
              <w:spacing w:line="276" w:lineRule="auto"/>
              <w:rPr>
                <w:rFonts w:cs="Arial"/>
              </w:rPr>
            </w:pPr>
          </w:p>
        </w:tc>
        <w:tc>
          <w:tcPr>
            <w:tcW w:w="6015" w:type="dxa"/>
            <w:tcBorders>
              <w:top w:val="nil"/>
              <w:left w:val="nil"/>
              <w:bottom w:val="nil"/>
              <w:right w:val="nil"/>
            </w:tcBorders>
          </w:tcPr>
          <w:p w14:paraId="41C242C0" w14:textId="77777777" w:rsidR="004E4950" w:rsidRPr="000E6A42" w:rsidRDefault="004E4950" w:rsidP="004D0BA2">
            <w:pPr>
              <w:spacing w:line="276" w:lineRule="auto"/>
              <w:rPr>
                <w:rFonts w:cs="Arial"/>
              </w:rPr>
            </w:pPr>
            <w:r w:rsidRPr="000E6A42">
              <w:rPr>
                <w:rFonts w:cs="Arial"/>
              </w:rPr>
              <w:t>Ottawa, Ontario  K1A 0C9</w:t>
            </w:r>
          </w:p>
        </w:tc>
      </w:tr>
      <w:tr w:rsidR="004E4950" w:rsidRPr="000E6A42" w14:paraId="49EA1F41" w14:textId="77777777" w:rsidTr="004D0BA2">
        <w:tc>
          <w:tcPr>
            <w:tcW w:w="2660" w:type="dxa"/>
            <w:tcBorders>
              <w:top w:val="nil"/>
              <w:left w:val="nil"/>
              <w:bottom w:val="nil"/>
              <w:right w:val="nil"/>
            </w:tcBorders>
          </w:tcPr>
          <w:p w14:paraId="6F197EAD" w14:textId="77777777" w:rsidR="004E4950" w:rsidRPr="000E6A42" w:rsidRDefault="004E4950" w:rsidP="004D0BA2">
            <w:pPr>
              <w:spacing w:line="276" w:lineRule="auto"/>
              <w:rPr>
                <w:rFonts w:cs="Arial"/>
              </w:rPr>
            </w:pPr>
          </w:p>
        </w:tc>
        <w:tc>
          <w:tcPr>
            <w:tcW w:w="6015" w:type="dxa"/>
            <w:tcBorders>
              <w:top w:val="nil"/>
              <w:left w:val="nil"/>
              <w:bottom w:val="nil"/>
              <w:right w:val="nil"/>
            </w:tcBorders>
          </w:tcPr>
          <w:p w14:paraId="401D9501" w14:textId="77777777" w:rsidR="004E4950" w:rsidRPr="000E6A42" w:rsidRDefault="004E4950" w:rsidP="004D0BA2">
            <w:pPr>
              <w:spacing w:line="276" w:lineRule="auto"/>
              <w:rPr>
                <w:rFonts w:cs="Arial"/>
              </w:rPr>
            </w:pPr>
            <w:r w:rsidRPr="000E6A42">
              <w:rPr>
                <w:rFonts w:cs="Arial"/>
              </w:rPr>
              <w:t>Canada</w:t>
            </w:r>
          </w:p>
        </w:tc>
      </w:tr>
      <w:tr w:rsidR="004E4950" w:rsidRPr="000E6A42" w14:paraId="29CC5C58" w14:textId="77777777" w:rsidTr="004D0BA2">
        <w:tc>
          <w:tcPr>
            <w:tcW w:w="2660" w:type="dxa"/>
            <w:tcBorders>
              <w:top w:val="nil"/>
              <w:left w:val="nil"/>
              <w:bottom w:val="nil"/>
              <w:right w:val="nil"/>
            </w:tcBorders>
          </w:tcPr>
          <w:p w14:paraId="35BDDCED" w14:textId="77777777" w:rsidR="004E4950" w:rsidRPr="000E6A42" w:rsidRDefault="004E4950" w:rsidP="004D0BA2">
            <w:pPr>
              <w:spacing w:after="200" w:line="276" w:lineRule="auto"/>
              <w:rPr>
                <w:rFonts w:cs="Arial"/>
                <w:b/>
              </w:rPr>
            </w:pPr>
            <w:r w:rsidRPr="000E6A42">
              <w:rPr>
                <w:rFonts w:cs="Arial"/>
                <w:b/>
              </w:rPr>
              <w:t>Telephone:</w:t>
            </w:r>
          </w:p>
        </w:tc>
        <w:tc>
          <w:tcPr>
            <w:tcW w:w="6015" w:type="dxa"/>
            <w:tcBorders>
              <w:top w:val="nil"/>
              <w:left w:val="nil"/>
              <w:bottom w:val="nil"/>
              <w:right w:val="nil"/>
            </w:tcBorders>
          </w:tcPr>
          <w:p w14:paraId="4FD1418B" w14:textId="77777777" w:rsidR="004E4950" w:rsidRPr="000E6A42" w:rsidRDefault="004E4950" w:rsidP="004D0BA2">
            <w:pPr>
              <w:spacing w:after="200" w:line="276" w:lineRule="auto"/>
              <w:rPr>
                <w:rFonts w:cs="Arial"/>
              </w:rPr>
            </w:pPr>
            <w:r w:rsidRPr="000E6A42">
              <w:rPr>
                <w:rFonts w:cs="Arial"/>
              </w:rPr>
              <w:t>613-952-0655</w:t>
            </w:r>
          </w:p>
        </w:tc>
      </w:tr>
    </w:tbl>
    <w:p w14:paraId="71DF25DC" w14:textId="77777777" w:rsidR="00DD1F87" w:rsidRDefault="00DD1F87">
      <w:pPr>
        <w:spacing w:after="200" w:line="276" w:lineRule="auto"/>
        <w:rPr>
          <w:rFonts w:asciiTheme="majorHAnsi" w:eastAsiaTheme="majorEastAsia" w:hAnsiTheme="majorHAnsi" w:cstheme="majorBidi"/>
          <w:b/>
          <w:bCs/>
          <w:color w:val="365F91" w:themeColor="accent1" w:themeShade="BF"/>
          <w:sz w:val="32"/>
          <w:szCs w:val="28"/>
        </w:rPr>
      </w:pPr>
      <w:r>
        <w:br w:type="page"/>
      </w:r>
    </w:p>
    <w:p w14:paraId="58C5D1A2" w14:textId="77777777" w:rsidR="006C4B5C" w:rsidRDefault="006C4B5C" w:rsidP="008E67C1">
      <w:pPr>
        <w:pStyle w:val="Heading1"/>
      </w:pPr>
    </w:p>
    <w:p w14:paraId="18BC5E0A" w14:textId="39D68CB7" w:rsidR="00F05746" w:rsidRPr="008E67C1" w:rsidRDefault="00F05746" w:rsidP="008E67C1">
      <w:pPr>
        <w:pStyle w:val="Heading1"/>
      </w:pPr>
      <w:r w:rsidRPr="008E67C1">
        <w:t>S</w:t>
      </w:r>
      <w:r w:rsidR="00A32DEE" w:rsidRPr="008E67C1">
        <w:t xml:space="preserve">ECTION </w:t>
      </w:r>
      <w:r w:rsidRPr="008E67C1">
        <w:t xml:space="preserve">1 </w:t>
      </w:r>
      <w:r w:rsidR="00515309" w:rsidRPr="008E67C1">
        <w:t>–</w:t>
      </w:r>
      <w:r w:rsidRPr="008E67C1">
        <w:t xml:space="preserve"> </w:t>
      </w:r>
      <w:r w:rsidR="006C4B5C">
        <w:t>Details of the membership of the Working Group</w:t>
      </w:r>
      <w:r w:rsidR="00515309" w:rsidRPr="008E67C1">
        <w:t xml:space="preserve"> </w:t>
      </w:r>
    </w:p>
    <w:p w14:paraId="0D705584" w14:textId="77777777" w:rsidR="00F05746" w:rsidRDefault="00F05746"/>
    <w:p w14:paraId="0E1DD4DC" w14:textId="77777777" w:rsidR="0012053D" w:rsidRDefault="0012053D" w:rsidP="0012053D">
      <w:r w:rsidRPr="00240797">
        <w:t xml:space="preserve">BACKGROUND  </w:t>
      </w:r>
    </w:p>
    <w:p w14:paraId="297BAF53" w14:textId="77777777" w:rsidR="0012053D" w:rsidRDefault="0012053D" w:rsidP="0012053D"/>
    <w:p w14:paraId="0901CDDC" w14:textId="692803A9" w:rsidR="0012053D" w:rsidRDefault="0012053D" w:rsidP="0012053D">
      <w:r>
        <w:t xml:space="preserve">The Working Group on Utility Meters was established at the second Asia-Pacific Legal Metrology Forum meeting held in Beijing on 22 October 1995. Utility meters comprise a range of measuring instruments that are used for trade and these include water meters, gas meters, electricity meters, taximeters, telephone meters and parking meters. There is a need to ensure that the pattern approval requirements for these instruments are harmonized, as there is significant international trade in these meters.  The Working Group aims to identify the usage of, and requirements for, utility meters in Asia-Pacific economies with the view of harmonization and uniformity of utility meters requirements in the region.  </w:t>
      </w:r>
    </w:p>
    <w:p w14:paraId="25432812" w14:textId="77777777" w:rsidR="0012053D" w:rsidRDefault="0012053D" w:rsidP="0012053D"/>
    <w:p w14:paraId="1C650864" w14:textId="77777777" w:rsidR="0012053D" w:rsidRDefault="0012053D" w:rsidP="0012053D">
      <w:r>
        <w:t xml:space="preserve"> SCOPE  </w:t>
      </w:r>
    </w:p>
    <w:p w14:paraId="6AFFB39A" w14:textId="77777777" w:rsidR="0012053D" w:rsidRDefault="0012053D" w:rsidP="0012053D"/>
    <w:p w14:paraId="6E99FB86" w14:textId="77777777" w:rsidR="0012053D" w:rsidRDefault="0012053D" w:rsidP="0012053D">
      <w:r>
        <w:t xml:space="preserve"> The Working Group on Utility Meters covers utility meters including water meters, gas meters, electricity meters, taximeters, telephone meters and heat meters. </w:t>
      </w:r>
    </w:p>
    <w:p w14:paraId="24534921" w14:textId="77777777" w:rsidR="0012053D" w:rsidRDefault="0012053D" w:rsidP="0012053D"/>
    <w:p w14:paraId="2A293DCC" w14:textId="77777777" w:rsidR="0012053D" w:rsidRDefault="0012053D" w:rsidP="0012053D">
      <w:r>
        <w:t xml:space="preserve"> OBJECTIVES  </w:t>
      </w:r>
    </w:p>
    <w:p w14:paraId="0B34878A" w14:textId="77777777" w:rsidR="0012053D" w:rsidRDefault="0012053D" w:rsidP="0012053D"/>
    <w:p w14:paraId="1A292CB1" w14:textId="79407718" w:rsidR="008E67C1" w:rsidRDefault="0012053D" w:rsidP="0012053D">
      <w:r>
        <w:t xml:space="preserve"> To ensure that requirements for utility meters, namely water meters, gas meters, electricity meters, taximeters, telephone meters and parking meters, are harmonized within the Asia-Pacific region.</w:t>
      </w:r>
    </w:p>
    <w:p w14:paraId="42566327" w14:textId="77077170" w:rsidR="00F05746" w:rsidRDefault="00F05746" w:rsidP="008E67C1">
      <w:pPr>
        <w:pStyle w:val="Heading1"/>
      </w:pPr>
      <w:r w:rsidRPr="00A528FE">
        <w:t>S</w:t>
      </w:r>
      <w:r w:rsidR="008E67C1">
        <w:t xml:space="preserve">ECTION </w:t>
      </w:r>
      <w:r w:rsidRPr="00A528FE">
        <w:t>2</w:t>
      </w:r>
      <w:r w:rsidR="008E67C1">
        <w:t xml:space="preserve"> – Key activities of </w:t>
      </w:r>
      <w:r w:rsidR="008E67C1" w:rsidRPr="00AD1C1C">
        <w:t>201</w:t>
      </w:r>
      <w:r w:rsidR="002435F5" w:rsidRPr="00AD1C1C">
        <w:t>6/17</w:t>
      </w:r>
      <w:r w:rsidR="006C4B5C">
        <w:t xml:space="preserve"> </w:t>
      </w:r>
    </w:p>
    <w:p w14:paraId="2CA297C2" w14:textId="77777777" w:rsidR="006C4B5C" w:rsidRPr="006C4B5C" w:rsidRDefault="006C4B5C" w:rsidP="00CD5A88"/>
    <w:p w14:paraId="31715425" w14:textId="66BAD6A9" w:rsidR="003638E0" w:rsidRDefault="00240797" w:rsidP="00F05746">
      <w:r>
        <w:t>TRAINING ON UTILITY METERS</w:t>
      </w:r>
    </w:p>
    <w:p w14:paraId="63B5EBD3" w14:textId="77777777" w:rsidR="003638E0" w:rsidRDefault="003638E0" w:rsidP="00F05746"/>
    <w:p w14:paraId="5524FC6E" w14:textId="6A73D35D" w:rsidR="003638E0" w:rsidRDefault="00240797" w:rsidP="00F05746">
      <w:r>
        <w:t>No training delivered on utility meters in 2016/17.</w:t>
      </w:r>
    </w:p>
    <w:p w14:paraId="28CA0D7A" w14:textId="77777777" w:rsidR="00240797" w:rsidRDefault="00240797" w:rsidP="00F05746"/>
    <w:p w14:paraId="78F67F0E" w14:textId="77777777" w:rsidR="007D1DD2" w:rsidRDefault="00240797" w:rsidP="00F05746">
      <w:r>
        <w:t>2017/17 OIML ACTIVITIES</w:t>
      </w:r>
    </w:p>
    <w:p w14:paraId="643D6D20" w14:textId="77777777" w:rsidR="007D1DD2" w:rsidRDefault="007D1DD2" w:rsidP="00F05746"/>
    <w:p w14:paraId="78809303" w14:textId="23906282" w:rsidR="00240797" w:rsidRDefault="00240797" w:rsidP="00F05746">
      <w:r>
        <w:t>ELECTRICITY METERS</w:t>
      </w:r>
    </w:p>
    <w:p w14:paraId="632C1174" w14:textId="77777777" w:rsidR="00240797" w:rsidRDefault="00240797" w:rsidP="00F05746"/>
    <w:p w14:paraId="0721B658" w14:textId="281373CD" w:rsidR="00240797" w:rsidRDefault="004E257A" w:rsidP="00F05746">
      <w:r>
        <w:t xml:space="preserve">OIML TC12/P1 has the responsibility for revising </w:t>
      </w:r>
      <w:r>
        <w:rPr>
          <w:rStyle w:val="highlightedsearchterm"/>
        </w:rPr>
        <w:t>OIML</w:t>
      </w:r>
      <w:r>
        <w:t xml:space="preserve"> R 46 "Active electrical energy meters".  There are currently thirty participating and eleven observing members. Australia is acting as the secretariat</w:t>
      </w:r>
      <w:r>
        <w:rPr>
          <w:lang w:val="en-CA"/>
        </w:rPr>
        <w:t xml:space="preserve">/convenor </w:t>
      </w:r>
      <w:r>
        <w:t xml:space="preserve">for this technical committee. </w:t>
      </w:r>
    </w:p>
    <w:p w14:paraId="7549BE70" w14:textId="77777777" w:rsidR="004E257A" w:rsidRDefault="004E257A" w:rsidP="00F05746"/>
    <w:p w14:paraId="291BD4A9" w14:textId="1FB22B79" w:rsidR="004E257A" w:rsidRDefault="004E257A" w:rsidP="00F05746">
      <w:r>
        <w:t>Issues of significance related to R46 include:</w:t>
      </w:r>
    </w:p>
    <w:p w14:paraId="2BBA288B" w14:textId="77777777" w:rsidR="004E257A" w:rsidRDefault="004E257A" w:rsidP="00F05746"/>
    <w:p w14:paraId="113A85AB" w14:textId="459E4385" w:rsidR="004E257A" w:rsidRPr="004E257A" w:rsidRDefault="004E257A" w:rsidP="004E257A">
      <w:pPr>
        <w:pStyle w:val="ListParagraph"/>
        <w:numPr>
          <w:ilvl w:val="0"/>
          <w:numId w:val="15"/>
        </w:numPr>
      </w:pPr>
      <w:r>
        <w:rPr>
          <w:lang w:val="en-CA"/>
        </w:rPr>
        <w:t>Addressing new technologies and market applications</w:t>
      </w:r>
    </w:p>
    <w:p w14:paraId="6592A3AE" w14:textId="51D52E29" w:rsidR="004E257A" w:rsidRDefault="004E257A" w:rsidP="004E257A">
      <w:pPr>
        <w:pStyle w:val="ListParagraph"/>
        <w:numPr>
          <w:ilvl w:val="0"/>
          <w:numId w:val="15"/>
        </w:numPr>
      </w:pPr>
      <w:r>
        <w:t>Interpretation of harmonic content requirements</w:t>
      </w:r>
    </w:p>
    <w:p w14:paraId="63912213" w14:textId="36F24F4A" w:rsidR="004E257A" w:rsidRDefault="004E257A" w:rsidP="004E257A">
      <w:pPr>
        <w:pStyle w:val="ListParagraph"/>
        <w:numPr>
          <w:ilvl w:val="0"/>
          <w:numId w:val="15"/>
        </w:numPr>
      </w:pPr>
      <w:r>
        <w:t>Making R46 more adaptable (modular), and more widely applicable.</w:t>
      </w:r>
    </w:p>
    <w:p w14:paraId="7A58AD03" w14:textId="7F2F414F" w:rsidR="004E257A" w:rsidRDefault="004E257A" w:rsidP="004E257A">
      <w:r>
        <w:t xml:space="preserve">A project proposal was approved by CIML at the October 2016 conference. </w:t>
      </w:r>
      <w:r w:rsidR="007D1DD2">
        <w:t>The development of a first working draft is currently in progress.</w:t>
      </w:r>
    </w:p>
    <w:p w14:paraId="06F4EEB1" w14:textId="77777777" w:rsidR="003638E0" w:rsidRDefault="003638E0" w:rsidP="00F05746"/>
    <w:p w14:paraId="37976678" w14:textId="77777777" w:rsidR="00D871FD" w:rsidRDefault="00D871FD" w:rsidP="00F05746"/>
    <w:p w14:paraId="7D75B0E6" w14:textId="604968B7" w:rsidR="003638E0" w:rsidRDefault="007D1DD2" w:rsidP="00F05746">
      <w:bookmarkStart w:id="0" w:name="_GoBack"/>
      <w:bookmarkEnd w:id="0"/>
      <w:r>
        <w:lastRenderedPageBreak/>
        <w:t>WATER METERS</w:t>
      </w:r>
    </w:p>
    <w:p w14:paraId="751FCEB2" w14:textId="77777777" w:rsidR="007D1DD2" w:rsidRDefault="007D1DD2" w:rsidP="00F05746"/>
    <w:p w14:paraId="36794D4E" w14:textId="3FB19497" w:rsidR="007D1DD2" w:rsidRDefault="007D1DD2" w:rsidP="007D1DD2">
      <w:r>
        <w:t>OIML TC8/SC5 has the responsibility for OIML R49 “Water Meters for Cold Potable Water and Hot Water”. There are currently twenty seven participating and nine observing members. The United Kingdom is acting as the secretariat</w:t>
      </w:r>
      <w:r>
        <w:rPr>
          <w:lang w:val="en-CA"/>
        </w:rPr>
        <w:t xml:space="preserve">/convenor </w:t>
      </w:r>
      <w:r>
        <w:t xml:space="preserve">for this technical committee. </w:t>
      </w:r>
    </w:p>
    <w:p w14:paraId="1A9E3927" w14:textId="77777777" w:rsidR="00ED0C93" w:rsidRDefault="00ED0C93" w:rsidP="007D1DD2"/>
    <w:p w14:paraId="43034DE8" w14:textId="2EB23C33" w:rsidR="00ED0C93" w:rsidRDefault="00ED0C93" w:rsidP="007D1DD2">
      <w:r>
        <w:t>There was no activity related to R49 in 2016. OIML model requirements for water meters are considered up to date and are harmonized with ISO.</w:t>
      </w:r>
    </w:p>
    <w:p w14:paraId="195360B8" w14:textId="77777777" w:rsidR="00ED0C93" w:rsidRDefault="00ED0C93" w:rsidP="007D1DD2"/>
    <w:p w14:paraId="06BC43B4" w14:textId="5ECDF799" w:rsidR="00ED0C93" w:rsidRDefault="00ED0C93" w:rsidP="007D1DD2">
      <w:r>
        <w:t>NATURAL GAS METERS</w:t>
      </w:r>
    </w:p>
    <w:p w14:paraId="7F7DF554" w14:textId="77777777" w:rsidR="00ED0C93" w:rsidRDefault="00ED0C93" w:rsidP="007D1DD2"/>
    <w:p w14:paraId="07B9E086" w14:textId="360C18A6" w:rsidR="00E52B30" w:rsidRDefault="00E52B30" w:rsidP="00E52B30">
      <w:r>
        <w:t>OIML TC8/SC</w:t>
      </w:r>
      <w:r w:rsidR="00B40E12">
        <w:t>7</w:t>
      </w:r>
      <w:r>
        <w:t xml:space="preserve"> has the responsibility for OIML </w:t>
      </w:r>
      <w:r w:rsidR="00B40E12">
        <w:t xml:space="preserve">R137 “Gas Meters”, R139 “Compressed Gaseous Fuel Measuring Systems or Vehicles” and R140 “Measuring Systems for Gaseous Fuels”. </w:t>
      </w:r>
      <w:r>
        <w:t xml:space="preserve"> There are currently twenty </w:t>
      </w:r>
      <w:r w:rsidR="00B40E12">
        <w:t>six</w:t>
      </w:r>
      <w:r>
        <w:t xml:space="preserve"> participating and nine observing members. </w:t>
      </w:r>
      <w:r w:rsidR="00B40E12">
        <w:t xml:space="preserve">The Netherlands </w:t>
      </w:r>
      <w:r>
        <w:t>is acting as the secretariat</w:t>
      </w:r>
      <w:r>
        <w:rPr>
          <w:lang w:val="en-CA"/>
        </w:rPr>
        <w:t xml:space="preserve">/convenor </w:t>
      </w:r>
      <w:r>
        <w:t xml:space="preserve">for this technical committee. </w:t>
      </w:r>
    </w:p>
    <w:p w14:paraId="0F9CA6DB" w14:textId="77777777" w:rsidR="00E52B30" w:rsidRDefault="00E52B30" w:rsidP="007D1DD2"/>
    <w:p w14:paraId="202EB398" w14:textId="77777777" w:rsidR="005E1228" w:rsidRDefault="00F15E66" w:rsidP="00F05746">
      <w:r>
        <w:t xml:space="preserve">There is currently no work underway related to R137. </w:t>
      </w:r>
    </w:p>
    <w:p w14:paraId="142FCD0F" w14:textId="77777777" w:rsidR="005E1228" w:rsidRDefault="005E1228" w:rsidP="00F05746"/>
    <w:p w14:paraId="332068CC" w14:textId="0CA0F46B" w:rsidR="00AA7F7B" w:rsidRPr="00AA7F7B" w:rsidRDefault="00AA7F7B" w:rsidP="00AA7F7B">
      <w:pPr>
        <w:rPr>
          <w:lang w:val="en"/>
        </w:rPr>
      </w:pPr>
      <w:r>
        <w:rPr>
          <w:lang w:val="en"/>
        </w:rPr>
        <w:t xml:space="preserve">A first committee draft of R139 was issued on </w:t>
      </w:r>
      <w:r w:rsidRPr="00AA7F7B">
        <w:rPr>
          <w:lang w:val="en"/>
        </w:rPr>
        <w:t xml:space="preserve">May </w:t>
      </w:r>
      <w:r>
        <w:rPr>
          <w:lang w:val="en"/>
        </w:rPr>
        <w:t xml:space="preserve">24, </w:t>
      </w:r>
      <w:r w:rsidRPr="00AA7F7B">
        <w:rPr>
          <w:lang w:val="en"/>
        </w:rPr>
        <w:t>2017</w:t>
      </w:r>
      <w:r>
        <w:rPr>
          <w:lang w:val="en"/>
        </w:rPr>
        <w:t>. Comments were due</w:t>
      </w:r>
      <w:r w:rsidRPr="00AA7F7B">
        <w:rPr>
          <w:lang w:val="en"/>
        </w:rPr>
        <w:t xml:space="preserve"> for</w:t>
      </w:r>
      <w:r>
        <w:rPr>
          <w:lang w:val="en"/>
        </w:rPr>
        <w:t xml:space="preserve"> </w:t>
      </w:r>
      <w:r w:rsidRPr="00AA7F7B">
        <w:rPr>
          <w:lang w:val="en"/>
        </w:rPr>
        <w:t xml:space="preserve">August </w:t>
      </w:r>
      <w:r>
        <w:rPr>
          <w:lang w:val="en"/>
        </w:rPr>
        <w:t xml:space="preserve">28, </w:t>
      </w:r>
      <w:r w:rsidRPr="00AA7F7B">
        <w:rPr>
          <w:lang w:val="en"/>
        </w:rPr>
        <w:t xml:space="preserve">2017. A </w:t>
      </w:r>
      <w:r>
        <w:rPr>
          <w:lang w:val="en"/>
        </w:rPr>
        <w:t xml:space="preserve">work group </w:t>
      </w:r>
      <w:r w:rsidRPr="00AA7F7B">
        <w:rPr>
          <w:lang w:val="en"/>
        </w:rPr>
        <w:t xml:space="preserve">meeting </w:t>
      </w:r>
      <w:r>
        <w:rPr>
          <w:lang w:val="en"/>
        </w:rPr>
        <w:t xml:space="preserve">is scheduled for </w:t>
      </w:r>
      <w:r w:rsidRPr="00AA7F7B">
        <w:rPr>
          <w:lang w:val="en"/>
        </w:rPr>
        <w:t>September</w:t>
      </w:r>
      <w:r>
        <w:rPr>
          <w:lang w:val="en"/>
        </w:rPr>
        <w:t xml:space="preserve"> 18 to 20, 2017 </w:t>
      </w:r>
      <w:r w:rsidRPr="00AA7F7B">
        <w:rPr>
          <w:lang w:val="en"/>
        </w:rPr>
        <w:t xml:space="preserve">in Delft, The Netherlands.  </w:t>
      </w:r>
    </w:p>
    <w:p w14:paraId="08DA7867" w14:textId="77777777" w:rsidR="005E1228" w:rsidRPr="00AA7F7B" w:rsidRDefault="005E1228" w:rsidP="00F05746">
      <w:pPr>
        <w:rPr>
          <w:lang w:val="en"/>
        </w:rPr>
      </w:pPr>
    </w:p>
    <w:p w14:paraId="7B431D74" w14:textId="4D599AB4" w:rsidR="007D1DD2" w:rsidRPr="005E1228" w:rsidRDefault="00AA7F7B" w:rsidP="00F05746">
      <w:pPr>
        <w:rPr>
          <w:rFonts w:asciiTheme="minorHAnsi" w:hAnsiTheme="minorHAnsi"/>
        </w:rPr>
      </w:pPr>
      <w:r>
        <w:rPr>
          <w:rFonts w:asciiTheme="minorHAnsi" w:hAnsiTheme="minorHAnsi"/>
        </w:rPr>
        <w:t xml:space="preserve">A first </w:t>
      </w:r>
      <w:r w:rsidR="005E1228" w:rsidRPr="005E1228">
        <w:rPr>
          <w:rFonts w:asciiTheme="minorHAnsi" w:hAnsiTheme="minorHAnsi"/>
          <w:lang w:val="en"/>
        </w:rPr>
        <w:t xml:space="preserve">working draft </w:t>
      </w:r>
      <w:r w:rsidR="005E1228">
        <w:rPr>
          <w:rFonts w:asciiTheme="minorHAnsi" w:hAnsiTheme="minorHAnsi"/>
          <w:lang w:val="en"/>
        </w:rPr>
        <w:t xml:space="preserve">of R140 is expected </w:t>
      </w:r>
      <w:r w:rsidR="005E1228" w:rsidRPr="005E1228">
        <w:rPr>
          <w:rFonts w:asciiTheme="minorHAnsi" w:hAnsiTheme="minorHAnsi"/>
          <w:lang w:val="en"/>
        </w:rPr>
        <w:t xml:space="preserve">to be circulated to project group members and PG meeting </w:t>
      </w:r>
      <w:r>
        <w:rPr>
          <w:rFonts w:asciiTheme="minorHAnsi" w:hAnsiTheme="minorHAnsi"/>
          <w:lang w:val="en"/>
        </w:rPr>
        <w:t xml:space="preserve">is </w:t>
      </w:r>
      <w:r w:rsidR="005E1228" w:rsidRPr="005E1228">
        <w:rPr>
          <w:rFonts w:asciiTheme="minorHAnsi" w:hAnsiTheme="minorHAnsi"/>
          <w:lang w:val="en"/>
        </w:rPr>
        <w:t>to be held in 2017.</w:t>
      </w:r>
    </w:p>
    <w:p w14:paraId="27105507" w14:textId="77777777" w:rsidR="003638E0" w:rsidRDefault="003638E0" w:rsidP="00F05746"/>
    <w:p w14:paraId="1C0DFAEE" w14:textId="5F45293E" w:rsidR="00DD1F87" w:rsidRDefault="00AE2FF9" w:rsidP="00F05746">
      <w:r>
        <w:t>APPLICATION OF STATISTICAL METHODS</w:t>
      </w:r>
    </w:p>
    <w:p w14:paraId="22CAF5D1" w14:textId="77777777" w:rsidR="00AE2FF9" w:rsidRDefault="00AE2FF9" w:rsidP="00F05746"/>
    <w:p w14:paraId="380981E6" w14:textId="791DC960" w:rsidR="00AE2FF9" w:rsidRDefault="00AE2FF9" w:rsidP="00AE2FF9">
      <w:r>
        <w:t xml:space="preserve">OIML TC3/SC4 currently has sixteen participating and </w:t>
      </w:r>
      <w:r w:rsidR="007E4A28">
        <w:t>seventeen</w:t>
      </w:r>
      <w:r>
        <w:t xml:space="preserve"> observing members. </w:t>
      </w:r>
      <w:r w:rsidR="007E4A28">
        <w:t>Germany</w:t>
      </w:r>
      <w:r>
        <w:t xml:space="preserve"> is acting as the secretariat</w:t>
      </w:r>
      <w:r>
        <w:rPr>
          <w:lang w:val="en-CA"/>
        </w:rPr>
        <w:t xml:space="preserve">/convenor </w:t>
      </w:r>
      <w:r>
        <w:t>for this technical committee</w:t>
      </w:r>
      <w:r w:rsidR="00E47784">
        <w:t xml:space="preserve">. </w:t>
      </w:r>
      <w:r>
        <w:t xml:space="preserve"> </w:t>
      </w:r>
    </w:p>
    <w:p w14:paraId="072E71B7" w14:textId="77777777" w:rsidR="00E47784" w:rsidRDefault="00E47784" w:rsidP="00E47784"/>
    <w:p w14:paraId="5F6040CB" w14:textId="4B4B35C4" w:rsidR="00DD1F87" w:rsidRDefault="00E47784" w:rsidP="00E47784">
      <w:r>
        <w:t xml:space="preserve">TC3/SC4 has been developing a new document </w:t>
      </w:r>
      <w:r w:rsidR="00E07CCC">
        <w:t>entitled “</w:t>
      </w:r>
      <w:r>
        <w:t>Surveillance of utility meters in service on the basis of sampling inspections”.</w:t>
      </w:r>
      <w:r w:rsidR="00E07CCC">
        <w:t xml:space="preserve"> </w:t>
      </w:r>
      <w:r>
        <w:t>CIML consultation phase was initiated and a first draft was submitted to CIML preliminary ballot for vote by 21 July 2017.</w:t>
      </w:r>
    </w:p>
    <w:p w14:paraId="0D7719A0" w14:textId="77777777" w:rsidR="009B55A5" w:rsidRDefault="009B55A5" w:rsidP="00E47784"/>
    <w:p w14:paraId="2D1ED137" w14:textId="2B2FB278" w:rsidR="009B55A5" w:rsidRDefault="009B55A5" w:rsidP="00E47784">
      <w:r>
        <w:t>SOFTWARE</w:t>
      </w:r>
    </w:p>
    <w:p w14:paraId="124CE667" w14:textId="77777777" w:rsidR="009B55A5" w:rsidRDefault="009B55A5" w:rsidP="00E47784"/>
    <w:p w14:paraId="78651234" w14:textId="77777777" w:rsidR="00C308D6" w:rsidRDefault="009B55A5" w:rsidP="00C308D6">
      <w:r>
        <w:t xml:space="preserve">OIML TC5/SC2/P3 is responsible for OIML D31 “General Requirements for </w:t>
      </w:r>
      <w:r>
        <w:rPr>
          <w:lang w:val="en"/>
        </w:rPr>
        <w:t xml:space="preserve">software controlled measuring instruments. </w:t>
      </w:r>
      <w:r w:rsidR="00C308D6">
        <w:t>There are currently twenty five participating and twelve observing members. Germany is acting as the secretariat</w:t>
      </w:r>
      <w:r w:rsidR="00C308D6">
        <w:rPr>
          <w:lang w:val="en-CA"/>
        </w:rPr>
        <w:t xml:space="preserve">/convenor </w:t>
      </w:r>
      <w:r w:rsidR="00C308D6">
        <w:t xml:space="preserve">for this technical committee.  A project group was established in October of 2016. A Working Draft was issued in April of 2017 for comments by 31 July 2017. </w:t>
      </w:r>
    </w:p>
    <w:p w14:paraId="1799B72E" w14:textId="77777777" w:rsidR="00C308D6" w:rsidRDefault="00C308D6" w:rsidP="00C308D6"/>
    <w:p w14:paraId="6A94F882" w14:textId="50A2A923" w:rsidR="00C308D6" w:rsidRDefault="00C308D6" w:rsidP="00C308D6">
      <w:r>
        <w:t>A project group meeting will be held in Berlin, Germany on September 20 and 21 2017.</w:t>
      </w:r>
    </w:p>
    <w:p w14:paraId="16DD34D6" w14:textId="42132E7F" w:rsidR="00F05746" w:rsidRDefault="00F05746" w:rsidP="008E67C1">
      <w:pPr>
        <w:pStyle w:val="Heading1"/>
      </w:pPr>
      <w:r w:rsidRPr="00A528FE">
        <w:t>S</w:t>
      </w:r>
      <w:r w:rsidR="008E67C1">
        <w:t xml:space="preserve">ECTION </w:t>
      </w:r>
      <w:r w:rsidRPr="00A528FE">
        <w:t>3</w:t>
      </w:r>
      <w:r w:rsidR="00A528FE" w:rsidRPr="00A528FE">
        <w:t xml:space="preserve"> – F</w:t>
      </w:r>
      <w:r w:rsidR="008E67C1">
        <w:t xml:space="preserve">uture </w:t>
      </w:r>
      <w:r w:rsidR="00E07CCC">
        <w:t>focus -</w:t>
      </w:r>
      <w:r w:rsidR="003638E0">
        <w:t xml:space="preserve"> Recommendations</w:t>
      </w:r>
    </w:p>
    <w:p w14:paraId="3F40A300" w14:textId="77777777" w:rsidR="00F05746" w:rsidRDefault="00F05746" w:rsidP="00F05746"/>
    <w:p w14:paraId="78AD83D7" w14:textId="1B03CD9D" w:rsidR="003638E0" w:rsidRDefault="009B55A5" w:rsidP="00333437">
      <w:r>
        <w:t>It is recommended that discussions take place on defining a possible role for the Working Group on Utility Measures. If there is a need for this working group, or if a specific project is identified, an appropriate way forward will need to be developed.</w:t>
      </w:r>
    </w:p>
    <w:p w14:paraId="6BD9F71D" w14:textId="77777777" w:rsidR="009B55A5" w:rsidRDefault="009B55A5" w:rsidP="00333437"/>
    <w:p w14:paraId="656312A6" w14:textId="24761E5F" w:rsidR="009B55A5" w:rsidRDefault="009B55A5" w:rsidP="00333437">
      <w:r>
        <w:t>Discussions should also take place to identify a possible expert on utility metering.</w:t>
      </w:r>
    </w:p>
    <w:p w14:paraId="628C4080" w14:textId="78209045" w:rsidR="003638E0" w:rsidRDefault="003638E0" w:rsidP="003638E0">
      <w:pPr>
        <w:pStyle w:val="Heading1"/>
      </w:pPr>
      <w:r w:rsidRPr="00A528FE">
        <w:lastRenderedPageBreak/>
        <w:t>S</w:t>
      </w:r>
      <w:r>
        <w:t>ECTION 4</w:t>
      </w:r>
      <w:r w:rsidRPr="00A528FE">
        <w:t xml:space="preserve"> – F</w:t>
      </w:r>
      <w:r>
        <w:t>uture focus – emerging issues</w:t>
      </w:r>
    </w:p>
    <w:p w14:paraId="2A3CB26C" w14:textId="77777777" w:rsidR="00E21306" w:rsidRPr="008F3AD9" w:rsidRDefault="00E21306" w:rsidP="00E21306">
      <w:pPr>
        <w:pStyle w:val="Heading2"/>
      </w:pPr>
      <w:r w:rsidRPr="0039285C">
        <w:t>Electric Vehicle Charging Stations (EVC Stations)</w:t>
      </w:r>
    </w:p>
    <w:p w14:paraId="7595AEA6" w14:textId="77777777" w:rsidR="00E21306" w:rsidRPr="00112B86" w:rsidRDefault="00E21306" w:rsidP="00E21306">
      <w:pPr>
        <w:rPr>
          <w:lang w:val="en-CA"/>
        </w:rPr>
      </w:pPr>
    </w:p>
    <w:p w14:paraId="0A5A1935" w14:textId="77777777" w:rsidR="00E21306" w:rsidRPr="00112B86" w:rsidRDefault="00E21306" w:rsidP="00E21306">
      <w:pPr>
        <w:rPr>
          <w:lang w:val="en-CA"/>
        </w:rPr>
      </w:pPr>
      <w:r w:rsidRPr="00112B86">
        <w:rPr>
          <w:lang w:val="en-CA"/>
        </w:rPr>
        <w:t xml:space="preserve">Recent initiatives have been introduced by some federal departments, provincial governments and regional municipalities to install advanced transportation technologies such as electric vehicle charging stations as part of a growing trend to invest in clean technology alternatives for consumers. Many of the electric </w:t>
      </w:r>
      <w:proofErr w:type="gramStart"/>
      <w:r w:rsidRPr="00112B86">
        <w:rPr>
          <w:lang w:val="en-CA"/>
        </w:rPr>
        <w:t>vehicle charging stations being installed are</w:t>
      </w:r>
      <w:proofErr w:type="gramEnd"/>
      <w:r w:rsidRPr="00112B86">
        <w:rPr>
          <w:lang w:val="en-CA"/>
        </w:rPr>
        <w:t xml:space="preserve"> designed with measurement systems involving new technology, which has raised questions about the applicable federal measurement statutes administered and enforced by Measurement Canada to which these devices would be subject.  </w:t>
      </w:r>
    </w:p>
    <w:p w14:paraId="3D85C651" w14:textId="77777777" w:rsidR="00E21306" w:rsidRPr="00112B86" w:rsidRDefault="00E21306" w:rsidP="00E21306">
      <w:pPr>
        <w:rPr>
          <w:lang w:val="en-CA"/>
        </w:rPr>
      </w:pPr>
    </w:p>
    <w:p w14:paraId="5015F6E1" w14:textId="22C68317" w:rsidR="00E21306" w:rsidRPr="00112B86" w:rsidRDefault="00E21306" w:rsidP="00E21306">
      <w:pPr>
        <w:rPr>
          <w:lang w:val="en-CA"/>
        </w:rPr>
      </w:pPr>
      <w:r w:rsidRPr="00112B86">
        <w:rPr>
          <w:lang w:val="en-CA"/>
        </w:rPr>
        <w:t>The total number of registered charg</w:t>
      </w:r>
      <w:r w:rsidR="000819FD">
        <w:rPr>
          <w:lang w:val="en-CA"/>
        </w:rPr>
        <w:t>ers in Canada is approximately 5</w:t>
      </w:r>
      <w:r w:rsidRPr="00112B86">
        <w:rPr>
          <w:lang w:val="en-CA"/>
        </w:rPr>
        <w:t>000 but this number is increasing rapidly and does not include most of the residential chargers.</w:t>
      </w:r>
    </w:p>
    <w:p w14:paraId="1EA8835C" w14:textId="134AEBD0" w:rsidR="00E21306" w:rsidRDefault="00E21306" w:rsidP="000819FD">
      <w:pPr>
        <w:rPr>
          <w:lang w:val="en-CA"/>
        </w:rPr>
      </w:pPr>
      <w:r w:rsidRPr="00112B86">
        <w:rPr>
          <w:lang w:val="en-CA"/>
        </w:rPr>
        <w:t xml:space="preserve">Revenue models for EV charging stations will likely vary from region to region depending on the local regulations pertaining to who can and cannot offer electricity for resale. </w:t>
      </w:r>
    </w:p>
    <w:p w14:paraId="3C454A2D" w14:textId="77777777" w:rsidR="000819FD" w:rsidRDefault="000819FD" w:rsidP="000819FD">
      <w:pPr>
        <w:rPr>
          <w:lang w:val="en-CA"/>
        </w:rPr>
      </w:pPr>
    </w:p>
    <w:p w14:paraId="41C42368" w14:textId="77777777" w:rsidR="00E21306" w:rsidRDefault="00E21306" w:rsidP="00E21306">
      <w:pPr>
        <w:rPr>
          <w:lang w:val="en-CA"/>
        </w:rPr>
      </w:pPr>
      <w:r w:rsidRPr="00112B86">
        <w:rPr>
          <w:lang w:val="en-CA"/>
        </w:rPr>
        <w:t xml:space="preserve">Some of the common revenue models are explained below for commercial/public charging operations: </w:t>
      </w:r>
    </w:p>
    <w:p w14:paraId="1C8F3575" w14:textId="77777777" w:rsidR="00E21306" w:rsidRPr="00112B86" w:rsidRDefault="00E21306" w:rsidP="00E21306">
      <w:pPr>
        <w:rPr>
          <w:lang w:val="en-CA"/>
        </w:rPr>
      </w:pPr>
    </w:p>
    <w:p w14:paraId="3D0299D4" w14:textId="77777777" w:rsidR="00E21306" w:rsidRPr="005E5767" w:rsidRDefault="00E21306" w:rsidP="00E21306">
      <w:pPr>
        <w:pStyle w:val="ListParagraph"/>
        <w:numPr>
          <w:ilvl w:val="0"/>
          <w:numId w:val="16"/>
        </w:numPr>
        <w:spacing w:before="120"/>
        <w:ind w:left="714" w:hanging="357"/>
        <w:contextualSpacing w:val="0"/>
        <w:rPr>
          <w:lang w:val="en-CA"/>
        </w:rPr>
      </w:pPr>
      <w:r w:rsidRPr="005E5767">
        <w:rPr>
          <w:i/>
          <w:lang w:val="en-CA"/>
        </w:rPr>
        <w:t>Free parking. Free Charging</w:t>
      </w:r>
      <w:r w:rsidRPr="005E5767">
        <w:rPr>
          <w:lang w:val="en-CA"/>
        </w:rPr>
        <w:t xml:space="preserve">. — In this scenario, the parking lot operator would install a charging station for the benefit of its customers. An example of this would be a store or hotel installing a charging station as a means to attract customers. </w:t>
      </w:r>
    </w:p>
    <w:p w14:paraId="27D42911" w14:textId="77777777" w:rsidR="00E21306" w:rsidRPr="005E5767" w:rsidRDefault="00E21306" w:rsidP="00E21306">
      <w:pPr>
        <w:pStyle w:val="ListParagraph"/>
        <w:numPr>
          <w:ilvl w:val="0"/>
          <w:numId w:val="16"/>
        </w:numPr>
        <w:spacing w:before="120"/>
        <w:ind w:left="714" w:hanging="357"/>
        <w:contextualSpacing w:val="0"/>
        <w:rPr>
          <w:lang w:val="en-CA"/>
        </w:rPr>
      </w:pPr>
      <w:r w:rsidRPr="005E5767">
        <w:rPr>
          <w:i/>
          <w:lang w:val="en-CA"/>
        </w:rPr>
        <w:t>Paid Parking. Free Charging</w:t>
      </w:r>
      <w:r w:rsidRPr="005E5767">
        <w:rPr>
          <w:lang w:val="en-CA"/>
        </w:rPr>
        <w:t xml:space="preserve">. — In this scenario, the parking lot operator would charge a flat rate for the parking stall which would include power for PEV charging. </w:t>
      </w:r>
    </w:p>
    <w:p w14:paraId="11383CDB" w14:textId="77777777" w:rsidR="00E21306" w:rsidRPr="005E5767" w:rsidRDefault="00E21306" w:rsidP="00E21306">
      <w:pPr>
        <w:pStyle w:val="ListParagraph"/>
        <w:numPr>
          <w:ilvl w:val="0"/>
          <w:numId w:val="16"/>
        </w:numPr>
        <w:spacing w:before="120"/>
        <w:ind w:left="714" w:hanging="357"/>
        <w:contextualSpacing w:val="0"/>
        <w:rPr>
          <w:lang w:val="en-CA"/>
        </w:rPr>
      </w:pPr>
      <w:r w:rsidRPr="005E5767">
        <w:rPr>
          <w:i/>
          <w:lang w:val="en-CA"/>
        </w:rPr>
        <w:t>Flat Rate Charging Fee or Time Based.</w:t>
      </w:r>
      <w:r w:rsidRPr="005E5767">
        <w:rPr>
          <w:lang w:val="en-CA"/>
        </w:rPr>
        <w:t xml:space="preserve"> — Unlimited charging for a flat fee or charges based on a set rate per minute. </w:t>
      </w:r>
    </w:p>
    <w:p w14:paraId="35836292" w14:textId="77777777" w:rsidR="00E21306" w:rsidRPr="005E5767" w:rsidRDefault="00E21306" w:rsidP="00E21306">
      <w:pPr>
        <w:pStyle w:val="ListParagraph"/>
        <w:numPr>
          <w:ilvl w:val="0"/>
          <w:numId w:val="16"/>
        </w:numPr>
        <w:spacing w:before="120"/>
        <w:ind w:left="714" w:hanging="357"/>
        <w:contextualSpacing w:val="0"/>
        <w:rPr>
          <w:lang w:val="en-CA"/>
        </w:rPr>
      </w:pPr>
      <w:r w:rsidRPr="005E5767">
        <w:rPr>
          <w:i/>
          <w:lang w:val="en-CA"/>
        </w:rPr>
        <w:t>Metered Charging</w:t>
      </w:r>
      <w:r w:rsidRPr="005E5767">
        <w:rPr>
          <w:lang w:val="en-CA"/>
        </w:rPr>
        <w:t xml:space="preserve"> — Users charged per kilowatt hour (kWh) of electricity supplied.</w:t>
      </w:r>
    </w:p>
    <w:p w14:paraId="0C6939AF" w14:textId="77777777" w:rsidR="00E21306" w:rsidRPr="00112B86" w:rsidRDefault="00E21306" w:rsidP="00E21306">
      <w:pPr>
        <w:rPr>
          <w:lang w:val="en-CA"/>
        </w:rPr>
      </w:pPr>
    </w:p>
    <w:p w14:paraId="3BD69C5B" w14:textId="77777777" w:rsidR="00E21306" w:rsidRPr="00112B86" w:rsidRDefault="00E21306" w:rsidP="00E21306">
      <w:pPr>
        <w:rPr>
          <w:lang w:val="en-CA"/>
        </w:rPr>
      </w:pPr>
      <w:r w:rsidRPr="00112B86">
        <w:rPr>
          <w:lang w:val="en-CA"/>
        </w:rPr>
        <w:t xml:space="preserve">The application of either the </w:t>
      </w:r>
      <w:r w:rsidRPr="0039285C">
        <w:rPr>
          <w:i/>
          <w:lang w:val="en-CA"/>
        </w:rPr>
        <w:t>Electricity and Gas Inspection Act</w:t>
      </w:r>
      <w:r w:rsidRPr="00112B86">
        <w:rPr>
          <w:lang w:val="en-CA"/>
        </w:rPr>
        <w:t xml:space="preserve"> (EGIA) or the </w:t>
      </w:r>
      <w:r w:rsidRPr="0039285C">
        <w:rPr>
          <w:i/>
          <w:lang w:val="en-CA"/>
        </w:rPr>
        <w:t>Weights and Measures Act</w:t>
      </w:r>
      <w:r w:rsidRPr="00112B86">
        <w:rPr>
          <w:lang w:val="en-CA"/>
        </w:rPr>
        <w:t xml:space="preserve"> (WMA) will be largely dependent on the intended use of the measuring device. With respect to EVC stations, Measurement Canada’s mandate is restricted to the </w:t>
      </w:r>
      <w:r w:rsidRPr="004721C4">
        <w:rPr>
          <w:i/>
          <w:lang w:val="en-CA"/>
        </w:rPr>
        <w:t>Metered Charging</w:t>
      </w:r>
      <w:r w:rsidRPr="00112B86">
        <w:rPr>
          <w:lang w:val="en-CA"/>
        </w:rPr>
        <w:t xml:space="preserve"> </w:t>
      </w:r>
      <w:r w:rsidRPr="004721C4">
        <w:rPr>
          <w:i/>
          <w:lang w:val="en-CA"/>
        </w:rPr>
        <w:t>Time Based</w:t>
      </w:r>
      <w:r w:rsidRPr="00112B86">
        <w:rPr>
          <w:lang w:val="en-CA"/>
        </w:rPr>
        <w:t xml:space="preserve"> model</w:t>
      </w:r>
      <w:r>
        <w:rPr>
          <w:lang w:val="en-CA"/>
        </w:rPr>
        <w:t>s</w:t>
      </w:r>
      <w:r w:rsidRPr="00112B86">
        <w:rPr>
          <w:lang w:val="en-CA"/>
        </w:rPr>
        <w:t>.</w:t>
      </w:r>
    </w:p>
    <w:sectPr w:rsidR="00E21306" w:rsidRPr="00112B86" w:rsidSect="00DD1F87">
      <w:headerReference w:type="default" r:id="rId8"/>
      <w:headerReference w:type="first" r:id="rId9"/>
      <w:pgSz w:w="11906" w:h="16838"/>
      <w:pgMar w:top="156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5C42D5" w14:textId="77777777" w:rsidR="0067223A" w:rsidRDefault="0067223A" w:rsidP="00765680">
      <w:r>
        <w:separator/>
      </w:r>
    </w:p>
  </w:endnote>
  <w:endnote w:type="continuationSeparator" w:id="0">
    <w:p w14:paraId="5FB239A9" w14:textId="77777777" w:rsidR="0067223A" w:rsidRDefault="0067223A" w:rsidP="0076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5A70D" w14:textId="77777777" w:rsidR="0067223A" w:rsidRDefault="0067223A" w:rsidP="00765680">
      <w:r>
        <w:separator/>
      </w:r>
    </w:p>
  </w:footnote>
  <w:footnote w:type="continuationSeparator" w:id="0">
    <w:p w14:paraId="7B19C013" w14:textId="77777777" w:rsidR="0067223A" w:rsidRDefault="0067223A" w:rsidP="0076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B2A99" w14:textId="77777777" w:rsidR="00765680" w:rsidRPr="00A32DEE" w:rsidRDefault="00A32DEE">
    <w:pPr>
      <w:pStyle w:val="Header"/>
    </w:pPr>
    <w:r>
      <w:rPr>
        <w:noProof/>
        <w:lang w:eastAsia="en-NZ"/>
      </w:rPr>
      <w:t xml:space="preserve">Economy Report – </w:t>
    </w:r>
    <w:r w:rsidR="00996210">
      <w:rPr>
        <w:i/>
        <w:noProof/>
        <w:lang w:eastAsia="en-NZ"/>
      </w:rPr>
      <w:t>Economy</w:t>
    </w:r>
    <w:r>
      <w:rPr>
        <w:i/>
        <w:noProof/>
        <w:lang w:eastAsia="en-NZ"/>
      </w:rPr>
      <w:t xml:space="preserve"> Name </w:t>
    </w:r>
    <w:r>
      <w:rPr>
        <w:i/>
        <w:noProof/>
        <w:lang w:eastAsia="en-NZ"/>
      </w:rPr>
      <w:tab/>
    </w:r>
    <w:r>
      <w:rPr>
        <w:i/>
        <w:noProof/>
        <w:lang w:eastAsia="en-NZ"/>
      </w:rPr>
      <w:tab/>
    </w:r>
    <w:r w:rsidRPr="00A32DEE">
      <w:rPr>
        <w:noProof/>
        <w:lang w:eastAsia="en-NZ"/>
      </w:rPr>
      <w:t xml:space="preserve">Page | </w:t>
    </w:r>
    <w:r w:rsidRPr="00A32DEE">
      <w:rPr>
        <w:noProof/>
        <w:lang w:eastAsia="en-NZ"/>
      </w:rPr>
      <w:fldChar w:fldCharType="begin"/>
    </w:r>
    <w:r w:rsidRPr="00A32DEE">
      <w:rPr>
        <w:noProof/>
        <w:lang w:eastAsia="en-NZ"/>
      </w:rPr>
      <w:instrText xml:space="preserve"> PAGE   \* MERGEFORMAT </w:instrText>
    </w:r>
    <w:r w:rsidRPr="00A32DEE">
      <w:rPr>
        <w:noProof/>
        <w:lang w:eastAsia="en-NZ"/>
      </w:rPr>
      <w:fldChar w:fldCharType="separate"/>
    </w:r>
    <w:r w:rsidR="00D871FD">
      <w:rPr>
        <w:noProof/>
        <w:lang w:eastAsia="en-NZ"/>
      </w:rPr>
      <w:t>2</w:t>
    </w:r>
    <w:r w:rsidRPr="00A32DEE">
      <w:rPr>
        <w:noProof/>
        <w:lang w:eastAsia="en-N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E049" w14:textId="77777777" w:rsidR="00A32DEE" w:rsidRDefault="00A32DEE">
    <w:pPr>
      <w:pStyle w:val="Header"/>
    </w:pPr>
    <w:r w:rsidRPr="00A32DEE">
      <w:rPr>
        <w:noProof/>
        <w:lang w:val="en-CA" w:eastAsia="en-CA"/>
      </w:rPr>
      <mc:AlternateContent>
        <mc:Choice Requires="wps">
          <w:drawing>
            <wp:anchor distT="0" distB="0" distL="114300" distR="114300" simplePos="0" relativeHeight="251662336" behindDoc="0" locked="0" layoutInCell="1" allowOverlap="1" wp14:anchorId="1EA8D499" wp14:editId="4DF0AD13">
              <wp:simplePos x="0" y="0"/>
              <wp:positionH relativeFrom="column">
                <wp:posOffset>4456430</wp:posOffset>
              </wp:positionH>
              <wp:positionV relativeFrom="paragraph">
                <wp:posOffset>-134924</wp:posOffset>
              </wp:positionV>
              <wp:extent cx="207645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6B296" w14:textId="77777777" w:rsidR="00A32DEE" w:rsidRPr="00AF1A45" w:rsidRDefault="00F62FCF" w:rsidP="00A32DEE">
                          <w:pPr>
                            <w:rPr>
                              <w:rFonts w:ascii="Franklin Gothic Demi Cond" w:hAnsi="Franklin Gothic Demi Cond"/>
                              <w:color w:val="173E49"/>
                              <w:sz w:val="36"/>
                            </w:rPr>
                          </w:pPr>
                          <w:r>
                            <w:rPr>
                              <w:rFonts w:ascii="Franklin Gothic Demi Cond" w:hAnsi="Franklin Gothic Demi Cond"/>
                              <w:color w:val="173E49"/>
                              <w:sz w:val="36"/>
                            </w:rPr>
                            <w:t>24</w:t>
                          </w:r>
                          <w:r w:rsidR="00A32DEE" w:rsidRPr="00AF1A45">
                            <w:rPr>
                              <w:rFonts w:ascii="Franklin Gothic Demi Cond" w:hAnsi="Franklin Gothic Demi Cond"/>
                              <w:color w:val="173E49"/>
                              <w:sz w:val="36"/>
                              <w:vertAlign w:val="superscript"/>
                            </w:rPr>
                            <w:t>rd</w:t>
                          </w:r>
                          <w:r>
                            <w:rPr>
                              <w:rFonts w:ascii="Franklin Gothic Demi Cond" w:hAnsi="Franklin Gothic Demi Cond"/>
                              <w:color w:val="173E49"/>
                              <w:sz w:val="36"/>
                            </w:rPr>
                            <w:t xml:space="preserve"> APLMF Meeting </w:t>
                          </w:r>
                          <w:proofErr w:type="spellStart"/>
                          <w:r w:rsidRPr="00F62FCF">
                            <w:rPr>
                              <w:rFonts w:ascii="Franklin Gothic Demi Cond" w:hAnsi="Franklin Gothic Demi Cond"/>
                              <w:color w:val="173E49"/>
                              <w:sz w:val="32"/>
                              <w:szCs w:val="32"/>
                            </w:rPr>
                            <w:t>Siem</w:t>
                          </w:r>
                          <w:proofErr w:type="spellEnd"/>
                          <w:r w:rsidRPr="00F62FCF">
                            <w:rPr>
                              <w:rFonts w:ascii="Franklin Gothic Demi Cond" w:hAnsi="Franklin Gothic Demi Cond"/>
                              <w:color w:val="173E49"/>
                              <w:sz w:val="32"/>
                              <w:szCs w:val="32"/>
                            </w:rPr>
                            <w:t xml:space="preserve"> Reap,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9pt;margin-top:-10.6pt;width:16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2igIAAIw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" fillcolor="white [3201]" stroked="f" strokeweight=".5pt">
              <v:textbox>
                <w:txbxContent>
                  <w:p w14:paraId="7D16B296" w14:textId="77777777" w:rsidR="00A32DEE" w:rsidRPr="00AF1A45" w:rsidRDefault="00F62FCF" w:rsidP="00A32DEE">
                    <w:pPr>
                      <w:rPr>
                        <w:rFonts w:ascii="Franklin Gothic Demi Cond" w:hAnsi="Franklin Gothic Demi Cond"/>
                        <w:color w:val="173E49"/>
                        <w:sz w:val="36"/>
                      </w:rPr>
                    </w:pPr>
                    <w:r>
                      <w:rPr>
                        <w:rFonts w:ascii="Franklin Gothic Demi Cond" w:hAnsi="Franklin Gothic Demi Cond"/>
                        <w:color w:val="173E49"/>
                        <w:sz w:val="36"/>
                      </w:rPr>
                      <w:t>24</w:t>
                    </w:r>
                    <w:r w:rsidR="00A32DEE" w:rsidRPr="00AF1A45">
                      <w:rPr>
                        <w:rFonts w:ascii="Franklin Gothic Demi Cond" w:hAnsi="Franklin Gothic Demi Cond"/>
                        <w:color w:val="173E49"/>
                        <w:sz w:val="36"/>
                        <w:vertAlign w:val="superscript"/>
                      </w:rPr>
                      <w:t>rd</w:t>
                    </w:r>
                    <w:r>
                      <w:rPr>
                        <w:rFonts w:ascii="Franklin Gothic Demi Cond" w:hAnsi="Franklin Gothic Demi Cond"/>
                        <w:color w:val="173E49"/>
                        <w:sz w:val="36"/>
                      </w:rPr>
                      <w:t xml:space="preserve"> APLMF Meeting </w:t>
                    </w:r>
                    <w:proofErr w:type="spellStart"/>
                    <w:r w:rsidRPr="00F62FCF">
                      <w:rPr>
                        <w:rFonts w:ascii="Franklin Gothic Demi Cond" w:hAnsi="Franklin Gothic Demi Cond"/>
                        <w:color w:val="173E49"/>
                        <w:sz w:val="32"/>
                        <w:szCs w:val="32"/>
                      </w:rPr>
                      <w:t>Siem</w:t>
                    </w:r>
                    <w:proofErr w:type="spellEnd"/>
                    <w:r w:rsidRPr="00F62FCF">
                      <w:rPr>
                        <w:rFonts w:ascii="Franklin Gothic Demi Cond" w:hAnsi="Franklin Gothic Demi Cond"/>
                        <w:color w:val="173E49"/>
                        <w:sz w:val="32"/>
                        <w:szCs w:val="32"/>
                      </w:rPr>
                      <w:t xml:space="preserve"> Reap, Cambodia</w:t>
                    </w:r>
                  </w:p>
                </w:txbxContent>
              </v:textbox>
            </v:shape>
          </w:pict>
        </mc:Fallback>
      </mc:AlternateContent>
    </w:r>
    <w:r w:rsidRPr="00A32DEE">
      <w:rPr>
        <w:noProof/>
        <w:lang w:val="en-CA" w:eastAsia="en-CA"/>
      </w:rPr>
      <w:drawing>
        <wp:anchor distT="0" distB="0" distL="114300" distR="114300" simplePos="0" relativeHeight="251661312" behindDoc="1" locked="0" layoutInCell="1" allowOverlap="1" wp14:anchorId="252C9449" wp14:editId="3A417AF4">
          <wp:simplePos x="0" y="0"/>
          <wp:positionH relativeFrom="column">
            <wp:posOffset>-727075</wp:posOffset>
          </wp:positionH>
          <wp:positionV relativeFrom="paragraph">
            <wp:posOffset>-287020</wp:posOffset>
          </wp:positionV>
          <wp:extent cx="3114675" cy="1181100"/>
          <wp:effectExtent l="0" t="0" r="9525" b="0"/>
          <wp:wrapThrough wrapText="bothSides">
            <wp:wrapPolygon edited="0">
              <wp:start x="0" y="0"/>
              <wp:lineTo x="0" y="21252"/>
              <wp:lineTo x="21534" y="21252"/>
              <wp:lineTo x="215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2AF"/>
    <w:multiLevelType w:val="hybridMultilevel"/>
    <w:tmpl w:val="79FC3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2621C3"/>
    <w:multiLevelType w:val="hybridMultilevel"/>
    <w:tmpl w:val="F2A8AF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D84092"/>
    <w:multiLevelType w:val="hybridMultilevel"/>
    <w:tmpl w:val="A68CB1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178A4C0C"/>
    <w:multiLevelType w:val="hybridMultilevel"/>
    <w:tmpl w:val="44F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401C62"/>
    <w:multiLevelType w:val="hybridMultilevel"/>
    <w:tmpl w:val="32380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FC84C22"/>
    <w:multiLevelType w:val="hybridMultilevel"/>
    <w:tmpl w:val="FD544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3F15DD5"/>
    <w:multiLevelType w:val="hybridMultilevel"/>
    <w:tmpl w:val="E350F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5E67CDA"/>
    <w:multiLevelType w:val="hybridMultilevel"/>
    <w:tmpl w:val="AAB42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262183"/>
    <w:multiLevelType w:val="hybridMultilevel"/>
    <w:tmpl w:val="55ECD9E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9">
    <w:nsid w:val="3D29041F"/>
    <w:multiLevelType w:val="hybridMultilevel"/>
    <w:tmpl w:val="A558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40C307F"/>
    <w:multiLevelType w:val="hybridMultilevel"/>
    <w:tmpl w:val="8BAE263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1">
    <w:nsid w:val="49190204"/>
    <w:multiLevelType w:val="hybridMultilevel"/>
    <w:tmpl w:val="61E63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9EF6B14"/>
    <w:multiLevelType w:val="hybridMultilevel"/>
    <w:tmpl w:val="741A8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0C82049"/>
    <w:multiLevelType w:val="hybridMultilevel"/>
    <w:tmpl w:val="77E2B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03A2D6B"/>
    <w:multiLevelType w:val="hybridMultilevel"/>
    <w:tmpl w:val="1BDE7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0"/>
  </w:num>
  <w:num w:numId="6">
    <w:abstractNumId w:val="12"/>
  </w:num>
  <w:num w:numId="7">
    <w:abstractNumId w:val="14"/>
  </w:num>
  <w:num w:numId="8">
    <w:abstractNumId w:val="9"/>
  </w:num>
  <w:num w:numId="9">
    <w:abstractNumId w:val="6"/>
  </w:num>
  <w:num w:numId="10">
    <w:abstractNumId w:val="10"/>
  </w:num>
  <w:num w:numId="11">
    <w:abstractNumId w:val="13"/>
  </w:num>
  <w:num w:numId="12">
    <w:abstractNumId w:val="11"/>
  </w:num>
  <w:num w:numId="13">
    <w:abstractNumId w:val="4"/>
  </w:num>
  <w:num w:numId="14">
    <w:abstractNumId w:val="7"/>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10"/>
    <w:rsid w:val="00001266"/>
    <w:rsid w:val="00001E22"/>
    <w:rsid w:val="000044B9"/>
    <w:rsid w:val="0000592D"/>
    <w:rsid w:val="000116C3"/>
    <w:rsid w:val="00011E6E"/>
    <w:rsid w:val="00023832"/>
    <w:rsid w:val="00032333"/>
    <w:rsid w:val="00040B34"/>
    <w:rsid w:val="00042C9E"/>
    <w:rsid w:val="00044BE5"/>
    <w:rsid w:val="00045CBF"/>
    <w:rsid w:val="00045FF5"/>
    <w:rsid w:val="000466F3"/>
    <w:rsid w:val="00047582"/>
    <w:rsid w:val="000519DF"/>
    <w:rsid w:val="000532B6"/>
    <w:rsid w:val="00053D12"/>
    <w:rsid w:val="0005408C"/>
    <w:rsid w:val="000642AC"/>
    <w:rsid w:val="00064C44"/>
    <w:rsid w:val="00067EBA"/>
    <w:rsid w:val="00070BB7"/>
    <w:rsid w:val="00072949"/>
    <w:rsid w:val="00072DCA"/>
    <w:rsid w:val="00074515"/>
    <w:rsid w:val="000800B5"/>
    <w:rsid w:val="00080326"/>
    <w:rsid w:val="00081603"/>
    <w:rsid w:val="000819FD"/>
    <w:rsid w:val="00083169"/>
    <w:rsid w:val="0008553D"/>
    <w:rsid w:val="0008782E"/>
    <w:rsid w:val="000908D0"/>
    <w:rsid w:val="0009288C"/>
    <w:rsid w:val="000928D9"/>
    <w:rsid w:val="00094E76"/>
    <w:rsid w:val="0009543F"/>
    <w:rsid w:val="000973EF"/>
    <w:rsid w:val="000A0FEC"/>
    <w:rsid w:val="000A107F"/>
    <w:rsid w:val="000A19A1"/>
    <w:rsid w:val="000A1E67"/>
    <w:rsid w:val="000A3E18"/>
    <w:rsid w:val="000A3EAE"/>
    <w:rsid w:val="000A4B81"/>
    <w:rsid w:val="000A6EA1"/>
    <w:rsid w:val="000A7815"/>
    <w:rsid w:val="000B03D6"/>
    <w:rsid w:val="000B28F1"/>
    <w:rsid w:val="000B38FE"/>
    <w:rsid w:val="000B6550"/>
    <w:rsid w:val="000C26EE"/>
    <w:rsid w:val="000C499D"/>
    <w:rsid w:val="000C7194"/>
    <w:rsid w:val="000C7EC1"/>
    <w:rsid w:val="000D0259"/>
    <w:rsid w:val="000D3021"/>
    <w:rsid w:val="000D5461"/>
    <w:rsid w:val="000D74DB"/>
    <w:rsid w:val="000E34B2"/>
    <w:rsid w:val="000E4F1D"/>
    <w:rsid w:val="000E56DA"/>
    <w:rsid w:val="000F0168"/>
    <w:rsid w:val="00102577"/>
    <w:rsid w:val="00107301"/>
    <w:rsid w:val="00107543"/>
    <w:rsid w:val="001102C9"/>
    <w:rsid w:val="00110633"/>
    <w:rsid w:val="001149CA"/>
    <w:rsid w:val="0011756E"/>
    <w:rsid w:val="00117841"/>
    <w:rsid w:val="0012053D"/>
    <w:rsid w:val="00120588"/>
    <w:rsid w:val="00130D17"/>
    <w:rsid w:val="00134CF1"/>
    <w:rsid w:val="00135AFD"/>
    <w:rsid w:val="00136F19"/>
    <w:rsid w:val="00136FA6"/>
    <w:rsid w:val="00150B34"/>
    <w:rsid w:val="00151F73"/>
    <w:rsid w:val="001521BA"/>
    <w:rsid w:val="00152680"/>
    <w:rsid w:val="00152E85"/>
    <w:rsid w:val="00155CD8"/>
    <w:rsid w:val="001576F0"/>
    <w:rsid w:val="00160D26"/>
    <w:rsid w:val="00161F02"/>
    <w:rsid w:val="00164B80"/>
    <w:rsid w:val="0016501F"/>
    <w:rsid w:val="001650DE"/>
    <w:rsid w:val="00166F21"/>
    <w:rsid w:val="001716CE"/>
    <w:rsid w:val="001724A1"/>
    <w:rsid w:val="00175CF3"/>
    <w:rsid w:val="00181190"/>
    <w:rsid w:val="001815CE"/>
    <w:rsid w:val="001821E8"/>
    <w:rsid w:val="00184FDC"/>
    <w:rsid w:val="00186862"/>
    <w:rsid w:val="00187DDF"/>
    <w:rsid w:val="001904F4"/>
    <w:rsid w:val="00190F98"/>
    <w:rsid w:val="001933C5"/>
    <w:rsid w:val="00195F24"/>
    <w:rsid w:val="001A3399"/>
    <w:rsid w:val="001B0704"/>
    <w:rsid w:val="001B2F3B"/>
    <w:rsid w:val="001B74E7"/>
    <w:rsid w:val="001B7C30"/>
    <w:rsid w:val="001C1939"/>
    <w:rsid w:val="001C2A19"/>
    <w:rsid w:val="001C5067"/>
    <w:rsid w:val="001D3592"/>
    <w:rsid w:val="001D4E74"/>
    <w:rsid w:val="001D6CD9"/>
    <w:rsid w:val="001D7486"/>
    <w:rsid w:val="001E0D52"/>
    <w:rsid w:val="001E3A73"/>
    <w:rsid w:val="001E75E0"/>
    <w:rsid w:val="001F24AC"/>
    <w:rsid w:val="001F4D27"/>
    <w:rsid w:val="002052A8"/>
    <w:rsid w:val="002052FA"/>
    <w:rsid w:val="0020679D"/>
    <w:rsid w:val="00207C80"/>
    <w:rsid w:val="00211534"/>
    <w:rsid w:val="00215899"/>
    <w:rsid w:val="002167F7"/>
    <w:rsid w:val="00217D22"/>
    <w:rsid w:val="0022785D"/>
    <w:rsid w:val="0023192C"/>
    <w:rsid w:val="00233B9F"/>
    <w:rsid w:val="00234D34"/>
    <w:rsid w:val="00240797"/>
    <w:rsid w:val="002407A4"/>
    <w:rsid w:val="00240856"/>
    <w:rsid w:val="00240A41"/>
    <w:rsid w:val="002435F5"/>
    <w:rsid w:val="00246BFC"/>
    <w:rsid w:val="00250978"/>
    <w:rsid w:val="00251AEC"/>
    <w:rsid w:val="002534C9"/>
    <w:rsid w:val="00254989"/>
    <w:rsid w:val="00255B2E"/>
    <w:rsid w:val="00256313"/>
    <w:rsid w:val="002565BB"/>
    <w:rsid w:val="00260390"/>
    <w:rsid w:val="00272462"/>
    <w:rsid w:val="002754D6"/>
    <w:rsid w:val="002769AF"/>
    <w:rsid w:val="002805D3"/>
    <w:rsid w:val="0028181D"/>
    <w:rsid w:val="00282304"/>
    <w:rsid w:val="00286E56"/>
    <w:rsid w:val="00291012"/>
    <w:rsid w:val="00292C7D"/>
    <w:rsid w:val="00293B87"/>
    <w:rsid w:val="002957EB"/>
    <w:rsid w:val="002A0FA2"/>
    <w:rsid w:val="002A14EA"/>
    <w:rsid w:val="002A1D6E"/>
    <w:rsid w:val="002A2B78"/>
    <w:rsid w:val="002A7D3F"/>
    <w:rsid w:val="002B0F29"/>
    <w:rsid w:val="002B43EA"/>
    <w:rsid w:val="002B7A24"/>
    <w:rsid w:val="002C00EF"/>
    <w:rsid w:val="002C0E1D"/>
    <w:rsid w:val="002C178B"/>
    <w:rsid w:val="002C4410"/>
    <w:rsid w:val="002C5790"/>
    <w:rsid w:val="002C6FC8"/>
    <w:rsid w:val="002C7D95"/>
    <w:rsid w:val="002D0233"/>
    <w:rsid w:val="002D3CED"/>
    <w:rsid w:val="002D4CDF"/>
    <w:rsid w:val="002D4E5B"/>
    <w:rsid w:val="002D69C5"/>
    <w:rsid w:val="002D7200"/>
    <w:rsid w:val="002E1094"/>
    <w:rsid w:val="002E2961"/>
    <w:rsid w:val="002E3BAD"/>
    <w:rsid w:val="002E3DB5"/>
    <w:rsid w:val="002E454F"/>
    <w:rsid w:val="002E45E3"/>
    <w:rsid w:val="002E5255"/>
    <w:rsid w:val="002E7E05"/>
    <w:rsid w:val="002F3C8F"/>
    <w:rsid w:val="002F56C9"/>
    <w:rsid w:val="002F5B28"/>
    <w:rsid w:val="002F6F48"/>
    <w:rsid w:val="00301A03"/>
    <w:rsid w:val="003051ED"/>
    <w:rsid w:val="003104CE"/>
    <w:rsid w:val="00312A73"/>
    <w:rsid w:val="00317707"/>
    <w:rsid w:val="00317F27"/>
    <w:rsid w:val="0032049E"/>
    <w:rsid w:val="00320C06"/>
    <w:rsid w:val="0032247D"/>
    <w:rsid w:val="003224CE"/>
    <w:rsid w:val="00326E8B"/>
    <w:rsid w:val="00332471"/>
    <w:rsid w:val="003325C7"/>
    <w:rsid w:val="00333437"/>
    <w:rsid w:val="0033481E"/>
    <w:rsid w:val="00343860"/>
    <w:rsid w:val="003459F7"/>
    <w:rsid w:val="00346A2E"/>
    <w:rsid w:val="00350526"/>
    <w:rsid w:val="00353C87"/>
    <w:rsid w:val="00357210"/>
    <w:rsid w:val="00360A68"/>
    <w:rsid w:val="00361DCF"/>
    <w:rsid w:val="003634EA"/>
    <w:rsid w:val="003638E0"/>
    <w:rsid w:val="003675AB"/>
    <w:rsid w:val="003700D3"/>
    <w:rsid w:val="00376F58"/>
    <w:rsid w:val="00380334"/>
    <w:rsid w:val="00383E5E"/>
    <w:rsid w:val="00386585"/>
    <w:rsid w:val="00387C45"/>
    <w:rsid w:val="003904F4"/>
    <w:rsid w:val="003915FC"/>
    <w:rsid w:val="003923A2"/>
    <w:rsid w:val="003958B8"/>
    <w:rsid w:val="003A0BA6"/>
    <w:rsid w:val="003A2FF4"/>
    <w:rsid w:val="003A43C6"/>
    <w:rsid w:val="003A5D61"/>
    <w:rsid w:val="003A674B"/>
    <w:rsid w:val="003A7030"/>
    <w:rsid w:val="003A7CD9"/>
    <w:rsid w:val="003A7F81"/>
    <w:rsid w:val="003C1276"/>
    <w:rsid w:val="003C1538"/>
    <w:rsid w:val="003C5123"/>
    <w:rsid w:val="003C57CB"/>
    <w:rsid w:val="003D035E"/>
    <w:rsid w:val="003D4866"/>
    <w:rsid w:val="003D600F"/>
    <w:rsid w:val="003E32A6"/>
    <w:rsid w:val="003E3A72"/>
    <w:rsid w:val="003E7BE0"/>
    <w:rsid w:val="003F0815"/>
    <w:rsid w:val="003F0A8F"/>
    <w:rsid w:val="003F1FBC"/>
    <w:rsid w:val="003F4F23"/>
    <w:rsid w:val="003F56ED"/>
    <w:rsid w:val="003F5B5B"/>
    <w:rsid w:val="003F6D96"/>
    <w:rsid w:val="00401F33"/>
    <w:rsid w:val="00401F35"/>
    <w:rsid w:val="00404901"/>
    <w:rsid w:val="00404DFF"/>
    <w:rsid w:val="0040505E"/>
    <w:rsid w:val="004068A7"/>
    <w:rsid w:val="00411203"/>
    <w:rsid w:val="00412278"/>
    <w:rsid w:val="00414251"/>
    <w:rsid w:val="004158D8"/>
    <w:rsid w:val="00417D52"/>
    <w:rsid w:val="00420030"/>
    <w:rsid w:val="004215D0"/>
    <w:rsid w:val="0042359A"/>
    <w:rsid w:val="00424702"/>
    <w:rsid w:val="0042572A"/>
    <w:rsid w:val="00425A95"/>
    <w:rsid w:val="00426B55"/>
    <w:rsid w:val="0042740A"/>
    <w:rsid w:val="00427B38"/>
    <w:rsid w:val="004341AF"/>
    <w:rsid w:val="0043473F"/>
    <w:rsid w:val="0043536B"/>
    <w:rsid w:val="00436AC4"/>
    <w:rsid w:val="004379DA"/>
    <w:rsid w:val="00437B2B"/>
    <w:rsid w:val="00440A86"/>
    <w:rsid w:val="00443962"/>
    <w:rsid w:val="00445310"/>
    <w:rsid w:val="0044574D"/>
    <w:rsid w:val="004462B8"/>
    <w:rsid w:val="004471D3"/>
    <w:rsid w:val="0045063A"/>
    <w:rsid w:val="00460850"/>
    <w:rsid w:val="00480B1B"/>
    <w:rsid w:val="0048145C"/>
    <w:rsid w:val="00481C59"/>
    <w:rsid w:val="00481F4A"/>
    <w:rsid w:val="004822E1"/>
    <w:rsid w:val="00482363"/>
    <w:rsid w:val="00485F96"/>
    <w:rsid w:val="00486507"/>
    <w:rsid w:val="00486A75"/>
    <w:rsid w:val="00495425"/>
    <w:rsid w:val="004A15F2"/>
    <w:rsid w:val="004A349A"/>
    <w:rsid w:val="004A3C69"/>
    <w:rsid w:val="004A538E"/>
    <w:rsid w:val="004B010A"/>
    <w:rsid w:val="004B241A"/>
    <w:rsid w:val="004B3759"/>
    <w:rsid w:val="004B3786"/>
    <w:rsid w:val="004B653B"/>
    <w:rsid w:val="004B713F"/>
    <w:rsid w:val="004C12A7"/>
    <w:rsid w:val="004C1E93"/>
    <w:rsid w:val="004C3311"/>
    <w:rsid w:val="004C5E7F"/>
    <w:rsid w:val="004D1B07"/>
    <w:rsid w:val="004D2BA0"/>
    <w:rsid w:val="004D55BC"/>
    <w:rsid w:val="004E257A"/>
    <w:rsid w:val="004E2F31"/>
    <w:rsid w:val="004E33E3"/>
    <w:rsid w:val="004E4950"/>
    <w:rsid w:val="004E6ED0"/>
    <w:rsid w:val="004F20CF"/>
    <w:rsid w:val="004F2DA5"/>
    <w:rsid w:val="004F2EE4"/>
    <w:rsid w:val="004F3996"/>
    <w:rsid w:val="004F3BAF"/>
    <w:rsid w:val="004F783E"/>
    <w:rsid w:val="00502A63"/>
    <w:rsid w:val="00504053"/>
    <w:rsid w:val="005054E3"/>
    <w:rsid w:val="005100AC"/>
    <w:rsid w:val="005120EE"/>
    <w:rsid w:val="00512397"/>
    <w:rsid w:val="00515309"/>
    <w:rsid w:val="0052191B"/>
    <w:rsid w:val="00524198"/>
    <w:rsid w:val="00524FD1"/>
    <w:rsid w:val="005344A9"/>
    <w:rsid w:val="00535492"/>
    <w:rsid w:val="00535526"/>
    <w:rsid w:val="005358B7"/>
    <w:rsid w:val="00536273"/>
    <w:rsid w:val="0053735F"/>
    <w:rsid w:val="005375F1"/>
    <w:rsid w:val="00540EA7"/>
    <w:rsid w:val="005421FE"/>
    <w:rsid w:val="00542DFA"/>
    <w:rsid w:val="005431C8"/>
    <w:rsid w:val="005436EE"/>
    <w:rsid w:val="00546545"/>
    <w:rsid w:val="0054694D"/>
    <w:rsid w:val="00547B30"/>
    <w:rsid w:val="00550971"/>
    <w:rsid w:val="0055486C"/>
    <w:rsid w:val="00556AB7"/>
    <w:rsid w:val="00562340"/>
    <w:rsid w:val="00566C77"/>
    <w:rsid w:val="005700E8"/>
    <w:rsid w:val="00570BB3"/>
    <w:rsid w:val="005720B1"/>
    <w:rsid w:val="0057327F"/>
    <w:rsid w:val="005732A7"/>
    <w:rsid w:val="00574FF5"/>
    <w:rsid w:val="00576F2B"/>
    <w:rsid w:val="00577621"/>
    <w:rsid w:val="00580269"/>
    <w:rsid w:val="00580DF6"/>
    <w:rsid w:val="00583997"/>
    <w:rsid w:val="005870BA"/>
    <w:rsid w:val="00587569"/>
    <w:rsid w:val="00587B3C"/>
    <w:rsid w:val="00590AFA"/>
    <w:rsid w:val="00590D80"/>
    <w:rsid w:val="005916F2"/>
    <w:rsid w:val="00592607"/>
    <w:rsid w:val="00593C2A"/>
    <w:rsid w:val="00596F9E"/>
    <w:rsid w:val="0059730D"/>
    <w:rsid w:val="005A44E5"/>
    <w:rsid w:val="005A4D39"/>
    <w:rsid w:val="005A5995"/>
    <w:rsid w:val="005A629B"/>
    <w:rsid w:val="005A6537"/>
    <w:rsid w:val="005A7F4F"/>
    <w:rsid w:val="005B0CD9"/>
    <w:rsid w:val="005B3F7A"/>
    <w:rsid w:val="005B52F6"/>
    <w:rsid w:val="005B7D17"/>
    <w:rsid w:val="005C17E2"/>
    <w:rsid w:val="005C18CF"/>
    <w:rsid w:val="005C2E39"/>
    <w:rsid w:val="005C7B47"/>
    <w:rsid w:val="005D148E"/>
    <w:rsid w:val="005D546E"/>
    <w:rsid w:val="005D5FDF"/>
    <w:rsid w:val="005D68B9"/>
    <w:rsid w:val="005E01BB"/>
    <w:rsid w:val="005E1228"/>
    <w:rsid w:val="005E213F"/>
    <w:rsid w:val="005E3F28"/>
    <w:rsid w:val="005E6A72"/>
    <w:rsid w:val="005E7115"/>
    <w:rsid w:val="005E7E48"/>
    <w:rsid w:val="005F1154"/>
    <w:rsid w:val="005F2DCC"/>
    <w:rsid w:val="005F64C0"/>
    <w:rsid w:val="00601F78"/>
    <w:rsid w:val="00602A6D"/>
    <w:rsid w:val="00602A6E"/>
    <w:rsid w:val="00602F15"/>
    <w:rsid w:val="00604467"/>
    <w:rsid w:val="00605908"/>
    <w:rsid w:val="0060774B"/>
    <w:rsid w:val="0061437B"/>
    <w:rsid w:val="006160C4"/>
    <w:rsid w:val="006172C5"/>
    <w:rsid w:val="006175DE"/>
    <w:rsid w:val="00620C33"/>
    <w:rsid w:val="00620ED8"/>
    <w:rsid w:val="006323A3"/>
    <w:rsid w:val="006369FF"/>
    <w:rsid w:val="0064084E"/>
    <w:rsid w:val="0064329E"/>
    <w:rsid w:val="006438C1"/>
    <w:rsid w:val="00643A59"/>
    <w:rsid w:val="006444CD"/>
    <w:rsid w:val="00646C36"/>
    <w:rsid w:val="00647C0A"/>
    <w:rsid w:val="00647D68"/>
    <w:rsid w:val="00650D56"/>
    <w:rsid w:val="00651357"/>
    <w:rsid w:val="00651FB5"/>
    <w:rsid w:val="00652086"/>
    <w:rsid w:val="00652AF2"/>
    <w:rsid w:val="006548F6"/>
    <w:rsid w:val="0065490C"/>
    <w:rsid w:val="00655BD2"/>
    <w:rsid w:val="006561C7"/>
    <w:rsid w:val="0065667E"/>
    <w:rsid w:val="0065776B"/>
    <w:rsid w:val="0066553F"/>
    <w:rsid w:val="006669AA"/>
    <w:rsid w:val="0066775F"/>
    <w:rsid w:val="006679E8"/>
    <w:rsid w:val="0067223A"/>
    <w:rsid w:val="006733BE"/>
    <w:rsid w:val="00676EBB"/>
    <w:rsid w:val="00680B15"/>
    <w:rsid w:val="00687216"/>
    <w:rsid w:val="00687B44"/>
    <w:rsid w:val="00687C58"/>
    <w:rsid w:val="006971AA"/>
    <w:rsid w:val="006A3246"/>
    <w:rsid w:val="006A3FA6"/>
    <w:rsid w:val="006A7989"/>
    <w:rsid w:val="006A7A2E"/>
    <w:rsid w:val="006B3A04"/>
    <w:rsid w:val="006B3BE9"/>
    <w:rsid w:val="006B5625"/>
    <w:rsid w:val="006C0469"/>
    <w:rsid w:val="006C1A41"/>
    <w:rsid w:val="006C1FF7"/>
    <w:rsid w:val="006C4B5C"/>
    <w:rsid w:val="006C4DB9"/>
    <w:rsid w:val="006C7350"/>
    <w:rsid w:val="006D1D65"/>
    <w:rsid w:val="006E09B9"/>
    <w:rsid w:val="006E7D46"/>
    <w:rsid w:val="006F014B"/>
    <w:rsid w:val="006F1B68"/>
    <w:rsid w:val="006F2BAE"/>
    <w:rsid w:val="006F4B34"/>
    <w:rsid w:val="006F510F"/>
    <w:rsid w:val="006F5540"/>
    <w:rsid w:val="006F5703"/>
    <w:rsid w:val="006F6E32"/>
    <w:rsid w:val="006F7116"/>
    <w:rsid w:val="00701CAD"/>
    <w:rsid w:val="00702525"/>
    <w:rsid w:val="00703CD1"/>
    <w:rsid w:val="0070443E"/>
    <w:rsid w:val="00706FBC"/>
    <w:rsid w:val="007106C5"/>
    <w:rsid w:val="007124C4"/>
    <w:rsid w:val="007139E7"/>
    <w:rsid w:val="00714E1D"/>
    <w:rsid w:val="0071687F"/>
    <w:rsid w:val="00717233"/>
    <w:rsid w:val="007177A1"/>
    <w:rsid w:val="00724B7F"/>
    <w:rsid w:val="007253B7"/>
    <w:rsid w:val="007255C2"/>
    <w:rsid w:val="00725734"/>
    <w:rsid w:val="007269E1"/>
    <w:rsid w:val="007320BC"/>
    <w:rsid w:val="0073258A"/>
    <w:rsid w:val="00734994"/>
    <w:rsid w:val="00740259"/>
    <w:rsid w:val="00740CC7"/>
    <w:rsid w:val="00751225"/>
    <w:rsid w:val="00752184"/>
    <w:rsid w:val="00752C2B"/>
    <w:rsid w:val="007565AD"/>
    <w:rsid w:val="00756981"/>
    <w:rsid w:val="00757173"/>
    <w:rsid w:val="00757310"/>
    <w:rsid w:val="00763003"/>
    <w:rsid w:val="00765680"/>
    <w:rsid w:val="00765D82"/>
    <w:rsid w:val="00765E1C"/>
    <w:rsid w:val="00766E68"/>
    <w:rsid w:val="00771BEE"/>
    <w:rsid w:val="00774E0C"/>
    <w:rsid w:val="007756F4"/>
    <w:rsid w:val="00775B07"/>
    <w:rsid w:val="00782573"/>
    <w:rsid w:val="00784165"/>
    <w:rsid w:val="00784C98"/>
    <w:rsid w:val="00790FFA"/>
    <w:rsid w:val="007913D4"/>
    <w:rsid w:val="0079638C"/>
    <w:rsid w:val="007A042E"/>
    <w:rsid w:val="007A0C88"/>
    <w:rsid w:val="007A16AF"/>
    <w:rsid w:val="007A1A17"/>
    <w:rsid w:val="007A1D55"/>
    <w:rsid w:val="007A31BC"/>
    <w:rsid w:val="007A4755"/>
    <w:rsid w:val="007A566A"/>
    <w:rsid w:val="007A6FA5"/>
    <w:rsid w:val="007A73FE"/>
    <w:rsid w:val="007B03AD"/>
    <w:rsid w:val="007B0AEF"/>
    <w:rsid w:val="007B0AF3"/>
    <w:rsid w:val="007B0DC4"/>
    <w:rsid w:val="007B5D35"/>
    <w:rsid w:val="007B7126"/>
    <w:rsid w:val="007B7383"/>
    <w:rsid w:val="007C3738"/>
    <w:rsid w:val="007C5737"/>
    <w:rsid w:val="007C79BB"/>
    <w:rsid w:val="007C7CD6"/>
    <w:rsid w:val="007D06F1"/>
    <w:rsid w:val="007D1C86"/>
    <w:rsid w:val="007D1DD2"/>
    <w:rsid w:val="007D4AD8"/>
    <w:rsid w:val="007E0659"/>
    <w:rsid w:val="007E1F73"/>
    <w:rsid w:val="007E3FA3"/>
    <w:rsid w:val="007E4A28"/>
    <w:rsid w:val="007E52F7"/>
    <w:rsid w:val="007E6DF6"/>
    <w:rsid w:val="007F085B"/>
    <w:rsid w:val="007F5161"/>
    <w:rsid w:val="00803A3E"/>
    <w:rsid w:val="00806C4C"/>
    <w:rsid w:val="00806EE9"/>
    <w:rsid w:val="008134F8"/>
    <w:rsid w:val="008150B0"/>
    <w:rsid w:val="00817FF7"/>
    <w:rsid w:val="00820060"/>
    <w:rsid w:val="00820DFA"/>
    <w:rsid w:val="00821FE5"/>
    <w:rsid w:val="00827D5F"/>
    <w:rsid w:val="00830177"/>
    <w:rsid w:val="00830237"/>
    <w:rsid w:val="00833DCD"/>
    <w:rsid w:val="00834BF2"/>
    <w:rsid w:val="008421CC"/>
    <w:rsid w:val="0084371D"/>
    <w:rsid w:val="008443B3"/>
    <w:rsid w:val="00850462"/>
    <w:rsid w:val="00851E36"/>
    <w:rsid w:val="00857622"/>
    <w:rsid w:val="00857FB4"/>
    <w:rsid w:val="008616CD"/>
    <w:rsid w:val="008628F0"/>
    <w:rsid w:val="00863D18"/>
    <w:rsid w:val="00864348"/>
    <w:rsid w:val="00865F8B"/>
    <w:rsid w:val="008661D9"/>
    <w:rsid w:val="008662BE"/>
    <w:rsid w:val="00872D1C"/>
    <w:rsid w:val="00873130"/>
    <w:rsid w:val="008748C2"/>
    <w:rsid w:val="00875324"/>
    <w:rsid w:val="00876838"/>
    <w:rsid w:val="0088098A"/>
    <w:rsid w:val="008921CE"/>
    <w:rsid w:val="00892358"/>
    <w:rsid w:val="00894982"/>
    <w:rsid w:val="0089560F"/>
    <w:rsid w:val="00897DA3"/>
    <w:rsid w:val="008A2A48"/>
    <w:rsid w:val="008A4545"/>
    <w:rsid w:val="008A673C"/>
    <w:rsid w:val="008A7D8D"/>
    <w:rsid w:val="008B3956"/>
    <w:rsid w:val="008B4577"/>
    <w:rsid w:val="008C34B8"/>
    <w:rsid w:val="008C4417"/>
    <w:rsid w:val="008C52D3"/>
    <w:rsid w:val="008C69E6"/>
    <w:rsid w:val="008C6E0C"/>
    <w:rsid w:val="008C722F"/>
    <w:rsid w:val="008D0ABA"/>
    <w:rsid w:val="008D6C0B"/>
    <w:rsid w:val="008D6DB0"/>
    <w:rsid w:val="008E067E"/>
    <w:rsid w:val="008E3EAD"/>
    <w:rsid w:val="008E67C1"/>
    <w:rsid w:val="008E7E63"/>
    <w:rsid w:val="008F4755"/>
    <w:rsid w:val="008F6291"/>
    <w:rsid w:val="008F7062"/>
    <w:rsid w:val="009004F9"/>
    <w:rsid w:val="00900EB7"/>
    <w:rsid w:val="00905B50"/>
    <w:rsid w:val="00912AB5"/>
    <w:rsid w:val="00912FFC"/>
    <w:rsid w:val="00913CB5"/>
    <w:rsid w:val="0091511F"/>
    <w:rsid w:val="009152B5"/>
    <w:rsid w:val="009155E1"/>
    <w:rsid w:val="00920BD8"/>
    <w:rsid w:val="009214C2"/>
    <w:rsid w:val="00922FD1"/>
    <w:rsid w:val="00924960"/>
    <w:rsid w:val="00925CE2"/>
    <w:rsid w:val="00931572"/>
    <w:rsid w:val="00931D49"/>
    <w:rsid w:val="00932EE2"/>
    <w:rsid w:val="00936F63"/>
    <w:rsid w:val="00942D0C"/>
    <w:rsid w:val="0094338A"/>
    <w:rsid w:val="0094481E"/>
    <w:rsid w:val="00953B26"/>
    <w:rsid w:val="00960EA7"/>
    <w:rsid w:val="009635A6"/>
    <w:rsid w:val="00967268"/>
    <w:rsid w:val="00974911"/>
    <w:rsid w:val="0097541C"/>
    <w:rsid w:val="009754A9"/>
    <w:rsid w:val="0097663C"/>
    <w:rsid w:val="00980626"/>
    <w:rsid w:val="00983B00"/>
    <w:rsid w:val="009847A9"/>
    <w:rsid w:val="00984C86"/>
    <w:rsid w:val="009850C5"/>
    <w:rsid w:val="009861D1"/>
    <w:rsid w:val="0099089A"/>
    <w:rsid w:val="00991180"/>
    <w:rsid w:val="0099165D"/>
    <w:rsid w:val="009934A9"/>
    <w:rsid w:val="00995FF2"/>
    <w:rsid w:val="00996210"/>
    <w:rsid w:val="009A015B"/>
    <w:rsid w:val="009A0271"/>
    <w:rsid w:val="009A057D"/>
    <w:rsid w:val="009A09AC"/>
    <w:rsid w:val="009A1077"/>
    <w:rsid w:val="009A226B"/>
    <w:rsid w:val="009A3DC4"/>
    <w:rsid w:val="009B3D1A"/>
    <w:rsid w:val="009B55A5"/>
    <w:rsid w:val="009C00DA"/>
    <w:rsid w:val="009C1112"/>
    <w:rsid w:val="009C2308"/>
    <w:rsid w:val="009C2F5B"/>
    <w:rsid w:val="009C3B6B"/>
    <w:rsid w:val="009C5F16"/>
    <w:rsid w:val="009C6D61"/>
    <w:rsid w:val="009D0632"/>
    <w:rsid w:val="009D31C1"/>
    <w:rsid w:val="009D361B"/>
    <w:rsid w:val="009E102A"/>
    <w:rsid w:val="009E1F25"/>
    <w:rsid w:val="009E232B"/>
    <w:rsid w:val="009E48DC"/>
    <w:rsid w:val="009E58C0"/>
    <w:rsid w:val="009E7691"/>
    <w:rsid w:val="009E7F7E"/>
    <w:rsid w:val="009F7553"/>
    <w:rsid w:val="009F777C"/>
    <w:rsid w:val="00A01EE9"/>
    <w:rsid w:val="00A03B70"/>
    <w:rsid w:val="00A04730"/>
    <w:rsid w:val="00A1137D"/>
    <w:rsid w:val="00A116A6"/>
    <w:rsid w:val="00A13DBD"/>
    <w:rsid w:val="00A150CC"/>
    <w:rsid w:val="00A171EF"/>
    <w:rsid w:val="00A20600"/>
    <w:rsid w:val="00A23B46"/>
    <w:rsid w:val="00A26243"/>
    <w:rsid w:val="00A262D9"/>
    <w:rsid w:val="00A26569"/>
    <w:rsid w:val="00A26D8E"/>
    <w:rsid w:val="00A3254C"/>
    <w:rsid w:val="00A32D07"/>
    <w:rsid w:val="00A32DEE"/>
    <w:rsid w:val="00A349E2"/>
    <w:rsid w:val="00A456CD"/>
    <w:rsid w:val="00A47921"/>
    <w:rsid w:val="00A50341"/>
    <w:rsid w:val="00A528FE"/>
    <w:rsid w:val="00A54799"/>
    <w:rsid w:val="00A5540F"/>
    <w:rsid w:val="00A56B37"/>
    <w:rsid w:val="00A573AE"/>
    <w:rsid w:val="00A57D8E"/>
    <w:rsid w:val="00A6331F"/>
    <w:rsid w:val="00A649D0"/>
    <w:rsid w:val="00A6602B"/>
    <w:rsid w:val="00A66A64"/>
    <w:rsid w:val="00A74410"/>
    <w:rsid w:val="00A7471E"/>
    <w:rsid w:val="00A75723"/>
    <w:rsid w:val="00A77C7C"/>
    <w:rsid w:val="00A800EF"/>
    <w:rsid w:val="00A8583B"/>
    <w:rsid w:val="00A928CD"/>
    <w:rsid w:val="00A92A11"/>
    <w:rsid w:val="00A92C3E"/>
    <w:rsid w:val="00A93E8A"/>
    <w:rsid w:val="00A9492D"/>
    <w:rsid w:val="00A97712"/>
    <w:rsid w:val="00AA0CE7"/>
    <w:rsid w:val="00AA12C9"/>
    <w:rsid w:val="00AA2BC3"/>
    <w:rsid w:val="00AA7F7B"/>
    <w:rsid w:val="00AB0099"/>
    <w:rsid w:val="00AB0D9D"/>
    <w:rsid w:val="00AB19E7"/>
    <w:rsid w:val="00AB266D"/>
    <w:rsid w:val="00AB287F"/>
    <w:rsid w:val="00AB2DAB"/>
    <w:rsid w:val="00AB383F"/>
    <w:rsid w:val="00AC251F"/>
    <w:rsid w:val="00AC498C"/>
    <w:rsid w:val="00AC6218"/>
    <w:rsid w:val="00AC7B6A"/>
    <w:rsid w:val="00AC7EAB"/>
    <w:rsid w:val="00AD1C1C"/>
    <w:rsid w:val="00AD66AD"/>
    <w:rsid w:val="00AD7C42"/>
    <w:rsid w:val="00AE0820"/>
    <w:rsid w:val="00AE09E6"/>
    <w:rsid w:val="00AE2FF9"/>
    <w:rsid w:val="00AE3022"/>
    <w:rsid w:val="00AE51D5"/>
    <w:rsid w:val="00AE5BF5"/>
    <w:rsid w:val="00AE5D61"/>
    <w:rsid w:val="00AE7BFA"/>
    <w:rsid w:val="00AF036D"/>
    <w:rsid w:val="00AF1A45"/>
    <w:rsid w:val="00AF308B"/>
    <w:rsid w:val="00B0646F"/>
    <w:rsid w:val="00B078D7"/>
    <w:rsid w:val="00B1181A"/>
    <w:rsid w:val="00B17B46"/>
    <w:rsid w:val="00B2181B"/>
    <w:rsid w:val="00B235C3"/>
    <w:rsid w:val="00B256E8"/>
    <w:rsid w:val="00B30698"/>
    <w:rsid w:val="00B31578"/>
    <w:rsid w:val="00B325D4"/>
    <w:rsid w:val="00B354CB"/>
    <w:rsid w:val="00B361AE"/>
    <w:rsid w:val="00B40E12"/>
    <w:rsid w:val="00B41851"/>
    <w:rsid w:val="00B42A38"/>
    <w:rsid w:val="00B42BD0"/>
    <w:rsid w:val="00B466A7"/>
    <w:rsid w:val="00B479B8"/>
    <w:rsid w:val="00B53760"/>
    <w:rsid w:val="00B54521"/>
    <w:rsid w:val="00B5526B"/>
    <w:rsid w:val="00B63201"/>
    <w:rsid w:val="00B64D32"/>
    <w:rsid w:val="00B70B4F"/>
    <w:rsid w:val="00B70D2B"/>
    <w:rsid w:val="00B71E3F"/>
    <w:rsid w:val="00B749BD"/>
    <w:rsid w:val="00B772E7"/>
    <w:rsid w:val="00B8477A"/>
    <w:rsid w:val="00B87F7E"/>
    <w:rsid w:val="00B90EB6"/>
    <w:rsid w:val="00B94F72"/>
    <w:rsid w:val="00BA2C10"/>
    <w:rsid w:val="00BA35F7"/>
    <w:rsid w:val="00BA4E47"/>
    <w:rsid w:val="00BA6993"/>
    <w:rsid w:val="00BA7289"/>
    <w:rsid w:val="00BA76FB"/>
    <w:rsid w:val="00BB3FEB"/>
    <w:rsid w:val="00BC3D71"/>
    <w:rsid w:val="00BC4D6C"/>
    <w:rsid w:val="00BC5D0A"/>
    <w:rsid w:val="00BC67FD"/>
    <w:rsid w:val="00BD0A8C"/>
    <w:rsid w:val="00BD6DDC"/>
    <w:rsid w:val="00BE02AB"/>
    <w:rsid w:val="00BE2049"/>
    <w:rsid w:val="00BE4EAD"/>
    <w:rsid w:val="00BE65AD"/>
    <w:rsid w:val="00BE6930"/>
    <w:rsid w:val="00BF3982"/>
    <w:rsid w:val="00BF4D79"/>
    <w:rsid w:val="00C01258"/>
    <w:rsid w:val="00C01A87"/>
    <w:rsid w:val="00C04655"/>
    <w:rsid w:val="00C047AC"/>
    <w:rsid w:val="00C0740D"/>
    <w:rsid w:val="00C113D9"/>
    <w:rsid w:val="00C12CEB"/>
    <w:rsid w:val="00C13C5F"/>
    <w:rsid w:val="00C16400"/>
    <w:rsid w:val="00C17DC8"/>
    <w:rsid w:val="00C21C95"/>
    <w:rsid w:val="00C24B8E"/>
    <w:rsid w:val="00C27B16"/>
    <w:rsid w:val="00C308D6"/>
    <w:rsid w:val="00C31FDE"/>
    <w:rsid w:val="00C34721"/>
    <w:rsid w:val="00C34A62"/>
    <w:rsid w:val="00C40292"/>
    <w:rsid w:val="00C43EA3"/>
    <w:rsid w:val="00C46B76"/>
    <w:rsid w:val="00C46EF0"/>
    <w:rsid w:val="00C517A3"/>
    <w:rsid w:val="00C56F35"/>
    <w:rsid w:val="00C605B8"/>
    <w:rsid w:val="00C61DAD"/>
    <w:rsid w:val="00C62DC1"/>
    <w:rsid w:val="00C64189"/>
    <w:rsid w:val="00C66255"/>
    <w:rsid w:val="00C671FE"/>
    <w:rsid w:val="00C70090"/>
    <w:rsid w:val="00C70823"/>
    <w:rsid w:val="00C70DFC"/>
    <w:rsid w:val="00C773CC"/>
    <w:rsid w:val="00C81AAD"/>
    <w:rsid w:val="00C82895"/>
    <w:rsid w:val="00C84CA6"/>
    <w:rsid w:val="00C85AE4"/>
    <w:rsid w:val="00C92802"/>
    <w:rsid w:val="00C931DF"/>
    <w:rsid w:val="00C9345F"/>
    <w:rsid w:val="00C9350E"/>
    <w:rsid w:val="00C935AF"/>
    <w:rsid w:val="00C966DA"/>
    <w:rsid w:val="00CA0606"/>
    <w:rsid w:val="00CA0628"/>
    <w:rsid w:val="00CA0852"/>
    <w:rsid w:val="00CA09C4"/>
    <w:rsid w:val="00CA32A6"/>
    <w:rsid w:val="00CA3610"/>
    <w:rsid w:val="00CB0EC6"/>
    <w:rsid w:val="00CB1775"/>
    <w:rsid w:val="00CB18AB"/>
    <w:rsid w:val="00CB2AD0"/>
    <w:rsid w:val="00CB3DA5"/>
    <w:rsid w:val="00CB680F"/>
    <w:rsid w:val="00CB6F9A"/>
    <w:rsid w:val="00CC131C"/>
    <w:rsid w:val="00CC17C6"/>
    <w:rsid w:val="00CC26FD"/>
    <w:rsid w:val="00CC30C4"/>
    <w:rsid w:val="00CC321E"/>
    <w:rsid w:val="00CC4FB3"/>
    <w:rsid w:val="00CC5B5E"/>
    <w:rsid w:val="00CD4DEA"/>
    <w:rsid w:val="00CD5A88"/>
    <w:rsid w:val="00CD5CD2"/>
    <w:rsid w:val="00CD7409"/>
    <w:rsid w:val="00CE0E0B"/>
    <w:rsid w:val="00CE1CA9"/>
    <w:rsid w:val="00CF2E00"/>
    <w:rsid w:val="00CF3114"/>
    <w:rsid w:val="00CF31B5"/>
    <w:rsid w:val="00CF37AD"/>
    <w:rsid w:val="00CF38DF"/>
    <w:rsid w:val="00D0190C"/>
    <w:rsid w:val="00D03A1A"/>
    <w:rsid w:val="00D049AD"/>
    <w:rsid w:val="00D04A96"/>
    <w:rsid w:val="00D11B1E"/>
    <w:rsid w:val="00D12DCB"/>
    <w:rsid w:val="00D13520"/>
    <w:rsid w:val="00D1580A"/>
    <w:rsid w:val="00D15BBD"/>
    <w:rsid w:val="00D167E0"/>
    <w:rsid w:val="00D16E0E"/>
    <w:rsid w:val="00D25F3B"/>
    <w:rsid w:val="00D26E72"/>
    <w:rsid w:val="00D360C7"/>
    <w:rsid w:val="00D377C9"/>
    <w:rsid w:val="00D37CE5"/>
    <w:rsid w:val="00D37F98"/>
    <w:rsid w:val="00D41DFC"/>
    <w:rsid w:val="00D47602"/>
    <w:rsid w:val="00D520A8"/>
    <w:rsid w:val="00D54B4C"/>
    <w:rsid w:val="00D571F2"/>
    <w:rsid w:val="00D57623"/>
    <w:rsid w:val="00D61FFA"/>
    <w:rsid w:val="00D6265E"/>
    <w:rsid w:val="00D64747"/>
    <w:rsid w:val="00D66105"/>
    <w:rsid w:val="00D67A67"/>
    <w:rsid w:val="00D734BC"/>
    <w:rsid w:val="00D7367F"/>
    <w:rsid w:val="00D75189"/>
    <w:rsid w:val="00D75C4F"/>
    <w:rsid w:val="00D832E7"/>
    <w:rsid w:val="00D8527D"/>
    <w:rsid w:val="00D86869"/>
    <w:rsid w:val="00D871FD"/>
    <w:rsid w:val="00D931EB"/>
    <w:rsid w:val="00D95133"/>
    <w:rsid w:val="00D95BB7"/>
    <w:rsid w:val="00DA0F2D"/>
    <w:rsid w:val="00DA3446"/>
    <w:rsid w:val="00DA407B"/>
    <w:rsid w:val="00DA69B9"/>
    <w:rsid w:val="00DA6D07"/>
    <w:rsid w:val="00DB0192"/>
    <w:rsid w:val="00DB08D2"/>
    <w:rsid w:val="00DB0917"/>
    <w:rsid w:val="00DB18E6"/>
    <w:rsid w:val="00DB38C2"/>
    <w:rsid w:val="00DB6AAA"/>
    <w:rsid w:val="00DC4275"/>
    <w:rsid w:val="00DC7817"/>
    <w:rsid w:val="00DD087E"/>
    <w:rsid w:val="00DD1F87"/>
    <w:rsid w:val="00DD3221"/>
    <w:rsid w:val="00DD4A3D"/>
    <w:rsid w:val="00DD6A72"/>
    <w:rsid w:val="00DD6AFA"/>
    <w:rsid w:val="00DE2A85"/>
    <w:rsid w:val="00DE4513"/>
    <w:rsid w:val="00DE7E9F"/>
    <w:rsid w:val="00DF1E4F"/>
    <w:rsid w:val="00DF3774"/>
    <w:rsid w:val="00DF3C21"/>
    <w:rsid w:val="00DF6019"/>
    <w:rsid w:val="00DF60A9"/>
    <w:rsid w:val="00E02AD0"/>
    <w:rsid w:val="00E04EC1"/>
    <w:rsid w:val="00E05728"/>
    <w:rsid w:val="00E07CCC"/>
    <w:rsid w:val="00E07DA9"/>
    <w:rsid w:val="00E1115F"/>
    <w:rsid w:val="00E14436"/>
    <w:rsid w:val="00E15582"/>
    <w:rsid w:val="00E15844"/>
    <w:rsid w:val="00E1747B"/>
    <w:rsid w:val="00E209B5"/>
    <w:rsid w:val="00E21306"/>
    <w:rsid w:val="00E21DA4"/>
    <w:rsid w:val="00E225B7"/>
    <w:rsid w:val="00E22C5A"/>
    <w:rsid w:val="00E23388"/>
    <w:rsid w:val="00E258A2"/>
    <w:rsid w:val="00E25ADF"/>
    <w:rsid w:val="00E31A52"/>
    <w:rsid w:val="00E32870"/>
    <w:rsid w:val="00E40D00"/>
    <w:rsid w:val="00E41B17"/>
    <w:rsid w:val="00E420A9"/>
    <w:rsid w:val="00E43C8B"/>
    <w:rsid w:val="00E4541A"/>
    <w:rsid w:val="00E465E2"/>
    <w:rsid w:val="00E47251"/>
    <w:rsid w:val="00E47784"/>
    <w:rsid w:val="00E47B34"/>
    <w:rsid w:val="00E52B30"/>
    <w:rsid w:val="00E541DF"/>
    <w:rsid w:val="00E547F3"/>
    <w:rsid w:val="00E6625C"/>
    <w:rsid w:val="00E67EF3"/>
    <w:rsid w:val="00E71D56"/>
    <w:rsid w:val="00E805ED"/>
    <w:rsid w:val="00E83E23"/>
    <w:rsid w:val="00E84327"/>
    <w:rsid w:val="00E84D09"/>
    <w:rsid w:val="00E850AE"/>
    <w:rsid w:val="00E8528A"/>
    <w:rsid w:val="00E860F1"/>
    <w:rsid w:val="00E87C9F"/>
    <w:rsid w:val="00E9150D"/>
    <w:rsid w:val="00E92B8B"/>
    <w:rsid w:val="00E92F19"/>
    <w:rsid w:val="00E94F47"/>
    <w:rsid w:val="00E95643"/>
    <w:rsid w:val="00E973EC"/>
    <w:rsid w:val="00EA0D88"/>
    <w:rsid w:val="00EA5191"/>
    <w:rsid w:val="00EA622A"/>
    <w:rsid w:val="00EB062C"/>
    <w:rsid w:val="00EB3EAD"/>
    <w:rsid w:val="00EB5115"/>
    <w:rsid w:val="00EB7027"/>
    <w:rsid w:val="00EC1694"/>
    <w:rsid w:val="00EC400B"/>
    <w:rsid w:val="00EC4F83"/>
    <w:rsid w:val="00ED0C93"/>
    <w:rsid w:val="00ED240B"/>
    <w:rsid w:val="00ED5722"/>
    <w:rsid w:val="00EE2B2F"/>
    <w:rsid w:val="00EE6810"/>
    <w:rsid w:val="00EF235E"/>
    <w:rsid w:val="00EF27F3"/>
    <w:rsid w:val="00EF369A"/>
    <w:rsid w:val="00EF754E"/>
    <w:rsid w:val="00F00513"/>
    <w:rsid w:val="00F00E24"/>
    <w:rsid w:val="00F01496"/>
    <w:rsid w:val="00F02C3A"/>
    <w:rsid w:val="00F03AB1"/>
    <w:rsid w:val="00F05746"/>
    <w:rsid w:val="00F0772F"/>
    <w:rsid w:val="00F07938"/>
    <w:rsid w:val="00F11D54"/>
    <w:rsid w:val="00F15E66"/>
    <w:rsid w:val="00F21FA1"/>
    <w:rsid w:val="00F253F2"/>
    <w:rsid w:val="00F27754"/>
    <w:rsid w:val="00F31C13"/>
    <w:rsid w:val="00F3385F"/>
    <w:rsid w:val="00F35FA6"/>
    <w:rsid w:val="00F4075C"/>
    <w:rsid w:val="00F44EF6"/>
    <w:rsid w:val="00F5126D"/>
    <w:rsid w:val="00F524E9"/>
    <w:rsid w:val="00F55FBE"/>
    <w:rsid w:val="00F56A39"/>
    <w:rsid w:val="00F57BF5"/>
    <w:rsid w:val="00F600C0"/>
    <w:rsid w:val="00F62BF5"/>
    <w:rsid w:val="00F62FCF"/>
    <w:rsid w:val="00F669CB"/>
    <w:rsid w:val="00F71220"/>
    <w:rsid w:val="00F714D1"/>
    <w:rsid w:val="00F73527"/>
    <w:rsid w:val="00F73ACE"/>
    <w:rsid w:val="00F742D8"/>
    <w:rsid w:val="00F74FB7"/>
    <w:rsid w:val="00F7520D"/>
    <w:rsid w:val="00F81AF8"/>
    <w:rsid w:val="00F85710"/>
    <w:rsid w:val="00F86692"/>
    <w:rsid w:val="00F87710"/>
    <w:rsid w:val="00F9004E"/>
    <w:rsid w:val="00F91B5D"/>
    <w:rsid w:val="00F92984"/>
    <w:rsid w:val="00F95A8E"/>
    <w:rsid w:val="00FA2115"/>
    <w:rsid w:val="00FA21D9"/>
    <w:rsid w:val="00FA2ACB"/>
    <w:rsid w:val="00FA31F3"/>
    <w:rsid w:val="00FA4C78"/>
    <w:rsid w:val="00FA5B47"/>
    <w:rsid w:val="00FA6223"/>
    <w:rsid w:val="00FA66C2"/>
    <w:rsid w:val="00FB1A8E"/>
    <w:rsid w:val="00FB772F"/>
    <w:rsid w:val="00FC2D6A"/>
    <w:rsid w:val="00FC3E25"/>
    <w:rsid w:val="00FD0D4D"/>
    <w:rsid w:val="00FD39B7"/>
    <w:rsid w:val="00FD5674"/>
    <w:rsid w:val="00FE285A"/>
    <w:rsid w:val="00FE2BD8"/>
    <w:rsid w:val="00FE3335"/>
    <w:rsid w:val="00FE5B6C"/>
    <w:rsid w:val="00FF182D"/>
    <w:rsid w:val="00FF23C0"/>
    <w:rsid w:val="00FF6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3A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46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7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66D"/>
    <w:pPr>
      <w:spacing w:after="200" w:line="276" w:lineRule="auto"/>
      <w:ind w:left="720"/>
      <w:contextualSpacing/>
    </w:pPr>
  </w:style>
  <w:style w:type="character" w:customStyle="1" w:styleId="Heading1Char">
    <w:name w:val="Heading 1 Char"/>
    <w:basedOn w:val="DefaultParagraphFont"/>
    <w:link w:val="Heading1"/>
    <w:uiPriority w:val="9"/>
    <w:rsid w:val="008E67C1"/>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76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680"/>
    <w:rPr>
      <w:rFonts w:ascii="Tahoma" w:hAnsi="Tahoma" w:cs="Tahoma"/>
      <w:sz w:val="16"/>
      <w:szCs w:val="16"/>
    </w:rPr>
  </w:style>
  <w:style w:type="character" w:customStyle="1" w:styleId="BalloonTextChar">
    <w:name w:val="Balloon Text Char"/>
    <w:basedOn w:val="DefaultParagraphFont"/>
    <w:link w:val="BalloonText"/>
    <w:uiPriority w:val="99"/>
    <w:semiHidden/>
    <w:rsid w:val="00765680"/>
    <w:rPr>
      <w:rFonts w:ascii="Tahoma" w:hAnsi="Tahoma" w:cs="Tahoma"/>
      <w:sz w:val="16"/>
      <w:szCs w:val="16"/>
    </w:rPr>
  </w:style>
  <w:style w:type="paragraph" w:styleId="Header">
    <w:name w:val="header"/>
    <w:basedOn w:val="Normal"/>
    <w:link w:val="HeaderChar"/>
    <w:uiPriority w:val="99"/>
    <w:unhideWhenUsed/>
    <w:rsid w:val="00765680"/>
    <w:pPr>
      <w:tabs>
        <w:tab w:val="center" w:pos="4513"/>
        <w:tab w:val="right" w:pos="9026"/>
      </w:tabs>
    </w:pPr>
  </w:style>
  <w:style w:type="character" w:customStyle="1" w:styleId="HeaderChar">
    <w:name w:val="Header Char"/>
    <w:basedOn w:val="DefaultParagraphFont"/>
    <w:link w:val="Header"/>
    <w:uiPriority w:val="99"/>
    <w:rsid w:val="00765680"/>
    <w:rPr>
      <w:rFonts w:ascii="Calibri" w:hAnsi="Calibri" w:cs="Times New Roman"/>
    </w:rPr>
  </w:style>
  <w:style w:type="paragraph" w:styleId="Footer">
    <w:name w:val="footer"/>
    <w:basedOn w:val="Normal"/>
    <w:link w:val="FooterChar"/>
    <w:uiPriority w:val="99"/>
    <w:unhideWhenUsed/>
    <w:rsid w:val="00765680"/>
    <w:pPr>
      <w:tabs>
        <w:tab w:val="center" w:pos="4513"/>
        <w:tab w:val="right" w:pos="9026"/>
      </w:tabs>
    </w:pPr>
  </w:style>
  <w:style w:type="character" w:customStyle="1" w:styleId="FooterChar">
    <w:name w:val="Footer Char"/>
    <w:basedOn w:val="DefaultParagraphFont"/>
    <w:link w:val="Footer"/>
    <w:uiPriority w:val="99"/>
    <w:rsid w:val="00765680"/>
    <w:rPr>
      <w:rFonts w:ascii="Calibri" w:hAnsi="Calibri" w:cs="Times New Roman"/>
    </w:rPr>
  </w:style>
  <w:style w:type="table" w:styleId="TableGrid">
    <w:name w:val="Table Grid"/>
    <w:basedOn w:val="TableNormal"/>
    <w:uiPriority w:val="59"/>
    <w:rsid w:val="00AF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6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5F5"/>
    <w:rPr>
      <w:color w:val="0000FF" w:themeColor="hyperlink"/>
      <w:u w:val="single"/>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Calibri" w:hAnsi="Calibri" w:cs="Times New Roman"/>
      <w:b/>
      <w:bCs/>
      <w:sz w:val="20"/>
      <w:szCs w:val="20"/>
    </w:rPr>
  </w:style>
  <w:style w:type="character" w:customStyle="1" w:styleId="highlightedsearchterm">
    <w:name w:val="highlightedsearchterm"/>
    <w:basedOn w:val="DefaultParagraphFont"/>
    <w:rsid w:val="004E257A"/>
  </w:style>
  <w:style w:type="character" w:customStyle="1" w:styleId="Heading3Char">
    <w:name w:val="Heading 3 Char"/>
    <w:basedOn w:val="DefaultParagraphFont"/>
    <w:link w:val="Heading3"/>
    <w:uiPriority w:val="9"/>
    <w:semiHidden/>
    <w:rsid w:val="00E4778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466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77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66D"/>
    <w:pPr>
      <w:spacing w:after="200" w:line="276" w:lineRule="auto"/>
      <w:ind w:left="720"/>
      <w:contextualSpacing/>
    </w:pPr>
  </w:style>
  <w:style w:type="character" w:customStyle="1" w:styleId="Heading1Char">
    <w:name w:val="Heading 1 Char"/>
    <w:basedOn w:val="DefaultParagraphFont"/>
    <w:link w:val="Heading1"/>
    <w:uiPriority w:val="9"/>
    <w:rsid w:val="008E67C1"/>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76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680"/>
    <w:rPr>
      <w:rFonts w:ascii="Tahoma" w:hAnsi="Tahoma" w:cs="Tahoma"/>
      <w:sz w:val="16"/>
      <w:szCs w:val="16"/>
    </w:rPr>
  </w:style>
  <w:style w:type="character" w:customStyle="1" w:styleId="BalloonTextChar">
    <w:name w:val="Balloon Text Char"/>
    <w:basedOn w:val="DefaultParagraphFont"/>
    <w:link w:val="BalloonText"/>
    <w:uiPriority w:val="99"/>
    <w:semiHidden/>
    <w:rsid w:val="00765680"/>
    <w:rPr>
      <w:rFonts w:ascii="Tahoma" w:hAnsi="Tahoma" w:cs="Tahoma"/>
      <w:sz w:val="16"/>
      <w:szCs w:val="16"/>
    </w:rPr>
  </w:style>
  <w:style w:type="paragraph" w:styleId="Header">
    <w:name w:val="header"/>
    <w:basedOn w:val="Normal"/>
    <w:link w:val="HeaderChar"/>
    <w:uiPriority w:val="99"/>
    <w:unhideWhenUsed/>
    <w:rsid w:val="00765680"/>
    <w:pPr>
      <w:tabs>
        <w:tab w:val="center" w:pos="4513"/>
        <w:tab w:val="right" w:pos="9026"/>
      </w:tabs>
    </w:pPr>
  </w:style>
  <w:style w:type="character" w:customStyle="1" w:styleId="HeaderChar">
    <w:name w:val="Header Char"/>
    <w:basedOn w:val="DefaultParagraphFont"/>
    <w:link w:val="Header"/>
    <w:uiPriority w:val="99"/>
    <w:rsid w:val="00765680"/>
    <w:rPr>
      <w:rFonts w:ascii="Calibri" w:hAnsi="Calibri" w:cs="Times New Roman"/>
    </w:rPr>
  </w:style>
  <w:style w:type="paragraph" w:styleId="Footer">
    <w:name w:val="footer"/>
    <w:basedOn w:val="Normal"/>
    <w:link w:val="FooterChar"/>
    <w:uiPriority w:val="99"/>
    <w:unhideWhenUsed/>
    <w:rsid w:val="00765680"/>
    <w:pPr>
      <w:tabs>
        <w:tab w:val="center" w:pos="4513"/>
        <w:tab w:val="right" w:pos="9026"/>
      </w:tabs>
    </w:pPr>
  </w:style>
  <w:style w:type="character" w:customStyle="1" w:styleId="FooterChar">
    <w:name w:val="Footer Char"/>
    <w:basedOn w:val="DefaultParagraphFont"/>
    <w:link w:val="Footer"/>
    <w:uiPriority w:val="99"/>
    <w:rsid w:val="00765680"/>
    <w:rPr>
      <w:rFonts w:ascii="Calibri" w:hAnsi="Calibri" w:cs="Times New Roman"/>
    </w:rPr>
  </w:style>
  <w:style w:type="table" w:styleId="TableGrid">
    <w:name w:val="Table Grid"/>
    <w:basedOn w:val="TableNormal"/>
    <w:uiPriority w:val="59"/>
    <w:rsid w:val="00AF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6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5F5"/>
    <w:rPr>
      <w:color w:val="0000FF" w:themeColor="hyperlink"/>
      <w:u w:val="single"/>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Calibri" w:hAnsi="Calibri" w:cs="Times New Roman"/>
      <w:b/>
      <w:bCs/>
      <w:sz w:val="20"/>
      <w:szCs w:val="20"/>
    </w:rPr>
  </w:style>
  <w:style w:type="character" w:customStyle="1" w:styleId="highlightedsearchterm">
    <w:name w:val="highlightedsearchterm"/>
    <w:basedOn w:val="DefaultParagraphFont"/>
    <w:rsid w:val="004E257A"/>
  </w:style>
  <w:style w:type="character" w:customStyle="1" w:styleId="Heading3Char">
    <w:name w:val="Heading 3 Char"/>
    <w:basedOn w:val="DefaultParagraphFont"/>
    <w:link w:val="Heading3"/>
    <w:uiPriority w:val="9"/>
    <w:semiHidden/>
    <w:rsid w:val="00E4778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5070">
      <w:bodyDiv w:val="1"/>
      <w:marLeft w:val="0"/>
      <w:marRight w:val="0"/>
      <w:marTop w:val="0"/>
      <w:marBottom w:val="0"/>
      <w:divBdr>
        <w:top w:val="none" w:sz="0" w:space="0" w:color="auto"/>
        <w:left w:val="none" w:sz="0" w:space="0" w:color="auto"/>
        <w:bottom w:val="none" w:sz="0" w:space="0" w:color="auto"/>
        <w:right w:val="none" w:sz="0" w:space="0" w:color="auto"/>
      </w:divBdr>
      <w:divsChild>
        <w:div w:id="1178499504">
          <w:marLeft w:val="0"/>
          <w:marRight w:val="0"/>
          <w:marTop w:val="0"/>
          <w:marBottom w:val="0"/>
          <w:divBdr>
            <w:top w:val="none" w:sz="0" w:space="0" w:color="auto"/>
            <w:left w:val="none" w:sz="0" w:space="0" w:color="auto"/>
            <w:bottom w:val="none" w:sz="0" w:space="0" w:color="auto"/>
            <w:right w:val="none" w:sz="0" w:space="0" w:color="auto"/>
          </w:divBdr>
          <w:divsChild>
            <w:div w:id="86078180">
              <w:marLeft w:val="0"/>
              <w:marRight w:val="0"/>
              <w:marTop w:val="0"/>
              <w:marBottom w:val="0"/>
              <w:divBdr>
                <w:top w:val="none" w:sz="0" w:space="0" w:color="auto"/>
                <w:left w:val="none" w:sz="0" w:space="0" w:color="auto"/>
                <w:bottom w:val="none" w:sz="0" w:space="0" w:color="auto"/>
                <w:right w:val="none" w:sz="0" w:space="0" w:color="auto"/>
              </w:divBdr>
              <w:divsChild>
                <w:div w:id="379284544">
                  <w:marLeft w:val="0"/>
                  <w:marRight w:val="0"/>
                  <w:marTop w:val="0"/>
                  <w:marBottom w:val="0"/>
                  <w:divBdr>
                    <w:top w:val="none" w:sz="0" w:space="0" w:color="auto"/>
                    <w:left w:val="none" w:sz="0" w:space="0" w:color="auto"/>
                    <w:bottom w:val="none" w:sz="0" w:space="0" w:color="auto"/>
                    <w:right w:val="none" w:sz="0" w:space="0" w:color="auto"/>
                  </w:divBdr>
                  <w:divsChild>
                    <w:div w:id="1699163857">
                      <w:marLeft w:val="0"/>
                      <w:marRight w:val="0"/>
                      <w:marTop w:val="240"/>
                      <w:marBottom w:val="480"/>
                      <w:divBdr>
                        <w:top w:val="none" w:sz="0" w:space="0" w:color="auto"/>
                        <w:left w:val="none" w:sz="0" w:space="0" w:color="auto"/>
                        <w:bottom w:val="none" w:sz="0" w:space="0" w:color="auto"/>
                        <w:right w:val="none" w:sz="0" w:space="0" w:color="auto"/>
                      </w:divBdr>
                      <w:divsChild>
                        <w:div w:id="48575219">
                          <w:marLeft w:val="0"/>
                          <w:marRight w:val="0"/>
                          <w:marTop w:val="0"/>
                          <w:marBottom w:val="0"/>
                          <w:divBdr>
                            <w:top w:val="none" w:sz="0" w:space="0" w:color="auto"/>
                            <w:left w:val="none" w:sz="0" w:space="0" w:color="auto"/>
                            <w:bottom w:val="none" w:sz="0" w:space="0" w:color="auto"/>
                            <w:right w:val="none" w:sz="0" w:space="0" w:color="auto"/>
                          </w:divBdr>
                        </w:div>
                        <w:div w:id="8061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255808">
      <w:bodyDiv w:val="1"/>
      <w:marLeft w:val="0"/>
      <w:marRight w:val="0"/>
      <w:marTop w:val="0"/>
      <w:marBottom w:val="0"/>
      <w:divBdr>
        <w:top w:val="none" w:sz="0" w:space="0" w:color="auto"/>
        <w:left w:val="none" w:sz="0" w:space="0" w:color="auto"/>
        <w:bottom w:val="none" w:sz="0" w:space="0" w:color="auto"/>
        <w:right w:val="none" w:sz="0" w:space="0" w:color="auto"/>
      </w:divBdr>
      <w:divsChild>
        <w:div w:id="399638963">
          <w:marLeft w:val="0"/>
          <w:marRight w:val="0"/>
          <w:marTop w:val="0"/>
          <w:marBottom w:val="0"/>
          <w:divBdr>
            <w:top w:val="none" w:sz="0" w:space="0" w:color="auto"/>
            <w:left w:val="none" w:sz="0" w:space="0" w:color="auto"/>
            <w:bottom w:val="none" w:sz="0" w:space="0" w:color="auto"/>
            <w:right w:val="none" w:sz="0" w:space="0" w:color="auto"/>
          </w:divBdr>
          <w:divsChild>
            <w:div w:id="79568648">
              <w:marLeft w:val="0"/>
              <w:marRight w:val="0"/>
              <w:marTop w:val="0"/>
              <w:marBottom w:val="0"/>
              <w:divBdr>
                <w:top w:val="none" w:sz="0" w:space="0" w:color="auto"/>
                <w:left w:val="none" w:sz="0" w:space="0" w:color="auto"/>
                <w:bottom w:val="none" w:sz="0" w:space="0" w:color="auto"/>
                <w:right w:val="none" w:sz="0" w:space="0" w:color="auto"/>
              </w:divBdr>
              <w:divsChild>
                <w:div w:id="2009862876">
                  <w:marLeft w:val="0"/>
                  <w:marRight w:val="0"/>
                  <w:marTop w:val="0"/>
                  <w:marBottom w:val="0"/>
                  <w:divBdr>
                    <w:top w:val="none" w:sz="0" w:space="0" w:color="auto"/>
                    <w:left w:val="none" w:sz="0" w:space="0" w:color="auto"/>
                    <w:bottom w:val="none" w:sz="0" w:space="0" w:color="auto"/>
                    <w:right w:val="none" w:sz="0" w:space="0" w:color="auto"/>
                  </w:divBdr>
                  <w:divsChild>
                    <w:div w:id="1099718082">
                      <w:marLeft w:val="0"/>
                      <w:marRight w:val="0"/>
                      <w:marTop w:val="240"/>
                      <w:marBottom w:val="480"/>
                      <w:divBdr>
                        <w:top w:val="none" w:sz="0" w:space="0" w:color="auto"/>
                        <w:left w:val="none" w:sz="0" w:space="0" w:color="auto"/>
                        <w:bottom w:val="none" w:sz="0" w:space="0" w:color="auto"/>
                        <w:right w:val="none" w:sz="0" w:space="0" w:color="auto"/>
                      </w:divBdr>
                      <w:divsChild>
                        <w:div w:id="1095905388">
                          <w:marLeft w:val="0"/>
                          <w:marRight w:val="0"/>
                          <w:marTop w:val="0"/>
                          <w:marBottom w:val="0"/>
                          <w:divBdr>
                            <w:top w:val="none" w:sz="0" w:space="0" w:color="auto"/>
                            <w:left w:val="none" w:sz="0" w:space="0" w:color="auto"/>
                            <w:bottom w:val="none" w:sz="0" w:space="0" w:color="auto"/>
                            <w:right w:val="none" w:sz="0" w:space="0" w:color="auto"/>
                          </w:divBdr>
                        </w:div>
                        <w:div w:id="14892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42574">
      <w:bodyDiv w:val="1"/>
      <w:marLeft w:val="0"/>
      <w:marRight w:val="0"/>
      <w:marTop w:val="0"/>
      <w:marBottom w:val="0"/>
      <w:divBdr>
        <w:top w:val="none" w:sz="0" w:space="0" w:color="auto"/>
        <w:left w:val="none" w:sz="0" w:space="0" w:color="auto"/>
        <w:bottom w:val="none" w:sz="0" w:space="0" w:color="auto"/>
        <w:right w:val="none" w:sz="0" w:space="0" w:color="auto"/>
      </w:divBdr>
      <w:divsChild>
        <w:div w:id="582110398">
          <w:marLeft w:val="0"/>
          <w:marRight w:val="0"/>
          <w:marTop w:val="0"/>
          <w:marBottom w:val="0"/>
          <w:divBdr>
            <w:top w:val="none" w:sz="0" w:space="0" w:color="auto"/>
            <w:left w:val="none" w:sz="0" w:space="0" w:color="auto"/>
            <w:bottom w:val="none" w:sz="0" w:space="0" w:color="auto"/>
            <w:right w:val="none" w:sz="0" w:space="0" w:color="auto"/>
          </w:divBdr>
          <w:divsChild>
            <w:div w:id="633802143">
              <w:marLeft w:val="0"/>
              <w:marRight w:val="0"/>
              <w:marTop w:val="0"/>
              <w:marBottom w:val="0"/>
              <w:divBdr>
                <w:top w:val="none" w:sz="0" w:space="0" w:color="auto"/>
                <w:left w:val="none" w:sz="0" w:space="0" w:color="auto"/>
                <w:bottom w:val="none" w:sz="0" w:space="0" w:color="auto"/>
                <w:right w:val="none" w:sz="0" w:space="0" w:color="auto"/>
              </w:divBdr>
              <w:divsChild>
                <w:div w:id="860050048">
                  <w:marLeft w:val="0"/>
                  <w:marRight w:val="0"/>
                  <w:marTop w:val="0"/>
                  <w:marBottom w:val="0"/>
                  <w:divBdr>
                    <w:top w:val="none" w:sz="0" w:space="0" w:color="auto"/>
                    <w:left w:val="none" w:sz="0" w:space="0" w:color="auto"/>
                    <w:bottom w:val="none" w:sz="0" w:space="0" w:color="auto"/>
                    <w:right w:val="none" w:sz="0" w:space="0" w:color="auto"/>
                  </w:divBdr>
                  <w:divsChild>
                    <w:div w:id="964391712">
                      <w:marLeft w:val="0"/>
                      <w:marRight w:val="0"/>
                      <w:marTop w:val="240"/>
                      <w:marBottom w:val="480"/>
                      <w:divBdr>
                        <w:top w:val="none" w:sz="0" w:space="0" w:color="auto"/>
                        <w:left w:val="none" w:sz="0" w:space="0" w:color="auto"/>
                        <w:bottom w:val="none" w:sz="0" w:space="0" w:color="auto"/>
                        <w:right w:val="none" w:sz="0" w:space="0" w:color="auto"/>
                      </w:divBdr>
                      <w:divsChild>
                        <w:div w:id="913975677">
                          <w:marLeft w:val="0"/>
                          <w:marRight w:val="0"/>
                          <w:marTop w:val="0"/>
                          <w:marBottom w:val="0"/>
                          <w:divBdr>
                            <w:top w:val="none" w:sz="0" w:space="0" w:color="auto"/>
                            <w:left w:val="none" w:sz="0" w:space="0" w:color="auto"/>
                            <w:bottom w:val="none" w:sz="0" w:space="0" w:color="auto"/>
                            <w:right w:val="none" w:sz="0" w:space="0" w:color="auto"/>
                          </w:divBdr>
                        </w:div>
                        <w:div w:id="16357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9523">
      <w:bodyDiv w:val="1"/>
      <w:marLeft w:val="0"/>
      <w:marRight w:val="0"/>
      <w:marTop w:val="0"/>
      <w:marBottom w:val="0"/>
      <w:divBdr>
        <w:top w:val="none" w:sz="0" w:space="0" w:color="auto"/>
        <w:left w:val="none" w:sz="0" w:space="0" w:color="auto"/>
        <w:bottom w:val="none" w:sz="0" w:space="0" w:color="auto"/>
        <w:right w:val="none" w:sz="0" w:space="0" w:color="auto"/>
      </w:divBdr>
      <w:divsChild>
        <w:div w:id="1084648891">
          <w:marLeft w:val="0"/>
          <w:marRight w:val="0"/>
          <w:marTop w:val="0"/>
          <w:marBottom w:val="0"/>
          <w:divBdr>
            <w:top w:val="none" w:sz="0" w:space="0" w:color="auto"/>
            <w:left w:val="none" w:sz="0" w:space="0" w:color="auto"/>
            <w:bottom w:val="none" w:sz="0" w:space="0" w:color="auto"/>
            <w:right w:val="none" w:sz="0" w:space="0" w:color="auto"/>
          </w:divBdr>
          <w:divsChild>
            <w:div w:id="1077946212">
              <w:marLeft w:val="0"/>
              <w:marRight w:val="0"/>
              <w:marTop w:val="0"/>
              <w:marBottom w:val="0"/>
              <w:divBdr>
                <w:top w:val="none" w:sz="0" w:space="0" w:color="auto"/>
                <w:left w:val="none" w:sz="0" w:space="0" w:color="auto"/>
                <w:bottom w:val="none" w:sz="0" w:space="0" w:color="auto"/>
                <w:right w:val="none" w:sz="0" w:space="0" w:color="auto"/>
              </w:divBdr>
              <w:divsChild>
                <w:div w:id="1971666052">
                  <w:marLeft w:val="0"/>
                  <w:marRight w:val="0"/>
                  <w:marTop w:val="0"/>
                  <w:marBottom w:val="0"/>
                  <w:divBdr>
                    <w:top w:val="none" w:sz="0" w:space="0" w:color="auto"/>
                    <w:left w:val="none" w:sz="0" w:space="0" w:color="auto"/>
                    <w:bottom w:val="none" w:sz="0" w:space="0" w:color="auto"/>
                    <w:right w:val="none" w:sz="0" w:space="0" w:color="auto"/>
                  </w:divBdr>
                  <w:divsChild>
                    <w:div w:id="264119115">
                      <w:marLeft w:val="0"/>
                      <w:marRight w:val="0"/>
                      <w:marTop w:val="240"/>
                      <w:marBottom w:val="480"/>
                      <w:divBdr>
                        <w:top w:val="none" w:sz="0" w:space="0" w:color="auto"/>
                        <w:left w:val="none" w:sz="0" w:space="0" w:color="auto"/>
                        <w:bottom w:val="none" w:sz="0" w:space="0" w:color="auto"/>
                        <w:right w:val="none" w:sz="0" w:space="0" w:color="auto"/>
                      </w:divBdr>
                      <w:divsChild>
                        <w:div w:id="1980332580">
                          <w:marLeft w:val="0"/>
                          <w:marRight w:val="0"/>
                          <w:marTop w:val="0"/>
                          <w:marBottom w:val="0"/>
                          <w:divBdr>
                            <w:top w:val="none" w:sz="0" w:space="0" w:color="auto"/>
                            <w:left w:val="none" w:sz="0" w:space="0" w:color="auto"/>
                            <w:bottom w:val="none" w:sz="0" w:space="0" w:color="auto"/>
                            <w:right w:val="none" w:sz="0" w:space="0" w:color="auto"/>
                          </w:divBdr>
                        </w:div>
                        <w:div w:id="16001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Smith</dc:creator>
  <cp:lastModifiedBy>Cotton, Carl: MC</cp:lastModifiedBy>
  <cp:revision>3</cp:revision>
  <cp:lastPrinted>2016-06-01T01:58:00Z</cp:lastPrinted>
  <dcterms:created xsi:type="dcterms:W3CDTF">2017-09-06T13:18:00Z</dcterms:created>
  <dcterms:modified xsi:type="dcterms:W3CDTF">2017-09-06T13:19:00Z</dcterms:modified>
</cp:coreProperties>
</file>