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80" w:rsidRDefault="00765680" w:rsidP="00765680"/>
    <w:p w:rsidR="00765680" w:rsidRPr="00765680" w:rsidRDefault="00765680" w:rsidP="00765680">
      <w:pPr>
        <w:jc w:val="center"/>
      </w:pPr>
    </w:p>
    <w:p w:rsidR="00765680" w:rsidRDefault="00765680" w:rsidP="00765680"/>
    <w:p w:rsidR="00DD1F87" w:rsidRDefault="00DD1F87" w:rsidP="00765680"/>
    <w:p w:rsidR="00DD1F87" w:rsidRDefault="00DD1F87" w:rsidP="00765680"/>
    <w:p w:rsidR="00B42A38" w:rsidRDefault="00B42A38" w:rsidP="00765680"/>
    <w:p w:rsidR="00765680" w:rsidRPr="00765680" w:rsidRDefault="00765680" w:rsidP="00765680"/>
    <w:p w:rsidR="00765680" w:rsidRPr="00A32DEE" w:rsidRDefault="00765680" w:rsidP="00765680">
      <w:pPr>
        <w:pStyle w:val="Title"/>
        <w:jc w:val="center"/>
      </w:pPr>
      <w:r w:rsidRPr="00A32DEE">
        <w:t>Economy Report</w:t>
      </w:r>
      <w:r w:rsidR="008B2F77">
        <w:t xml:space="preserve"> - 2017</w:t>
      </w:r>
    </w:p>
    <w:p w:rsidR="00765680" w:rsidRDefault="00765680"/>
    <w:p w:rsidR="00AF1A45" w:rsidRDefault="00AF1A45"/>
    <w:p w:rsidR="00AF1A45" w:rsidRPr="00A32DEE" w:rsidRDefault="006D69BD" w:rsidP="00AF1A45">
      <w:pPr>
        <w:jc w:val="center"/>
        <w:rPr>
          <w:rFonts w:asciiTheme="majorHAnsi" w:hAnsiTheme="majorHAnsi"/>
          <w:b/>
          <w:i/>
          <w:color w:val="17365D" w:themeColor="text2" w:themeShade="BF"/>
          <w:sz w:val="52"/>
          <w:szCs w:val="52"/>
        </w:rPr>
      </w:pPr>
      <w:r w:rsidRPr="006D69BD">
        <w:rPr>
          <w:rFonts w:asciiTheme="majorHAnsi" w:hAnsiTheme="majorHAnsi"/>
          <w:b/>
          <w:i/>
          <w:color w:val="17365D" w:themeColor="text2" w:themeShade="BF"/>
          <w:sz w:val="52"/>
          <w:szCs w:val="52"/>
        </w:rPr>
        <w:t>New Zealand</w:t>
      </w:r>
    </w:p>
    <w:p w:rsidR="00B42A38" w:rsidRPr="00A32DEE" w:rsidRDefault="00B42A38" w:rsidP="00AF1A45">
      <w:pPr>
        <w:jc w:val="center"/>
        <w:rPr>
          <w:rFonts w:asciiTheme="majorHAnsi" w:hAnsiTheme="majorHAnsi"/>
          <w:color w:val="17365D" w:themeColor="text2" w:themeShade="BF"/>
          <w:sz w:val="36"/>
          <w:szCs w:val="52"/>
        </w:rPr>
      </w:pPr>
    </w:p>
    <w:p w:rsidR="00B42A38" w:rsidRPr="00A32DEE" w:rsidRDefault="00B42A38" w:rsidP="00B42A38">
      <w:pPr>
        <w:pStyle w:val="Title"/>
        <w:jc w:val="center"/>
        <w:rPr>
          <w:sz w:val="36"/>
        </w:rPr>
      </w:pPr>
    </w:p>
    <w:p w:rsidR="00B42A38" w:rsidRDefault="00B42A38" w:rsidP="00B42A38"/>
    <w:tbl>
      <w:tblPr>
        <w:tblStyle w:val="TableGrid"/>
        <w:tblW w:w="0" w:type="auto"/>
        <w:tblInd w:w="392" w:type="dxa"/>
        <w:tblLook w:val="04A0" w:firstRow="1" w:lastRow="0" w:firstColumn="1" w:lastColumn="0" w:noHBand="0" w:noVBand="1"/>
      </w:tblPr>
      <w:tblGrid>
        <w:gridCol w:w="8363"/>
      </w:tblGrid>
      <w:tr w:rsidR="00A32DEE" w:rsidRPr="004379DA" w:rsidTr="00184FDC">
        <w:tc>
          <w:tcPr>
            <w:tcW w:w="8363" w:type="dxa"/>
            <w:shd w:val="clear" w:color="auto" w:fill="FBD4B4" w:themeFill="accent6" w:themeFillTint="66"/>
          </w:tcPr>
          <w:p w:rsidR="00A32DEE" w:rsidRPr="001D4E74" w:rsidRDefault="008E67C1" w:rsidP="00A32DEE">
            <w:pPr>
              <w:spacing w:before="120" w:after="120"/>
              <w:rPr>
                <w:b/>
                <w:sz w:val="24"/>
                <w:szCs w:val="20"/>
              </w:rPr>
            </w:pPr>
            <w:r w:rsidRPr="001D4E74">
              <w:rPr>
                <w:b/>
                <w:sz w:val="24"/>
                <w:szCs w:val="20"/>
              </w:rPr>
              <w:t xml:space="preserve">Instructions </w:t>
            </w:r>
            <w:r w:rsidR="00A32DEE" w:rsidRPr="001D4E74">
              <w:rPr>
                <w:b/>
                <w:sz w:val="24"/>
                <w:szCs w:val="20"/>
              </w:rPr>
              <w:t>:</w:t>
            </w:r>
          </w:p>
          <w:p w:rsidR="00A32DEE" w:rsidRPr="008E67C1" w:rsidRDefault="00A32DEE" w:rsidP="004379DA">
            <w:pPr>
              <w:spacing w:after="120" w:line="264" w:lineRule="auto"/>
              <w:rPr>
                <w:sz w:val="18"/>
                <w:szCs w:val="20"/>
              </w:rPr>
            </w:pPr>
            <w:r w:rsidRPr="008E67C1">
              <w:rPr>
                <w:sz w:val="18"/>
                <w:szCs w:val="20"/>
              </w:rPr>
              <w:t>APL</w:t>
            </w:r>
            <w:r w:rsidR="001D4E74">
              <w:rPr>
                <w:sz w:val="18"/>
                <w:szCs w:val="20"/>
              </w:rPr>
              <w:t>M</w:t>
            </w:r>
            <w:r w:rsidRPr="008E67C1">
              <w:rPr>
                <w:sz w:val="18"/>
                <w:szCs w:val="20"/>
              </w:rPr>
              <w:t xml:space="preserve">F representatives </w:t>
            </w:r>
            <w:r w:rsidR="00515309" w:rsidRPr="008E67C1">
              <w:rPr>
                <w:sz w:val="18"/>
                <w:szCs w:val="20"/>
              </w:rPr>
              <w:t xml:space="preserve">are requested to </w:t>
            </w:r>
            <w:r w:rsidR="00184FDC">
              <w:rPr>
                <w:sz w:val="18"/>
                <w:szCs w:val="20"/>
              </w:rPr>
              <w:t xml:space="preserve">use the </w:t>
            </w:r>
            <w:r w:rsidRPr="008E67C1">
              <w:rPr>
                <w:sz w:val="18"/>
                <w:szCs w:val="20"/>
              </w:rPr>
              <w:t xml:space="preserve">structure </w:t>
            </w:r>
            <w:r w:rsidR="00515309" w:rsidRPr="008E67C1">
              <w:rPr>
                <w:sz w:val="18"/>
                <w:szCs w:val="20"/>
              </w:rPr>
              <w:t xml:space="preserve">outlined in this template </w:t>
            </w:r>
            <w:r w:rsidR="00184FDC">
              <w:rPr>
                <w:sz w:val="18"/>
                <w:szCs w:val="20"/>
              </w:rPr>
              <w:t xml:space="preserve">to </w:t>
            </w:r>
            <w:r w:rsidR="00515309" w:rsidRPr="008E67C1">
              <w:rPr>
                <w:sz w:val="18"/>
                <w:szCs w:val="20"/>
              </w:rPr>
              <w:t>develop</w:t>
            </w:r>
            <w:r w:rsidR="00184FDC">
              <w:rPr>
                <w:sz w:val="18"/>
                <w:szCs w:val="20"/>
              </w:rPr>
              <w:t xml:space="preserve"> </w:t>
            </w:r>
            <w:r w:rsidR="00515309" w:rsidRPr="008E67C1">
              <w:rPr>
                <w:sz w:val="18"/>
                <w:szCs w:val="20"/>
              </w:rPr>
              <w:t xml:space="preserve">their </w:t>
            </w:r>
            <w:r w:rsidR="00184FDC">
              <w:rPr>
                <w:sz w:val="18"/>
                <w:szCs w:val="20"/>
              </w:rPr>
              <w:t>E</w:t>
            </w:r>
            <w:r w:rsidR="00515309" w:rsidRPr="008E67C1">
              <w:rPr>
                <w:sz w:val="18"/>
                <w:szCs w:val="20"/>
              </w:rPr>
              <w:t xml:space="preserve">conomy </w:t>
            </w:r>
            <w:r w:rsidR="00184FDC">
              <w:rPr>
                <w:sz w:val="18"/>
                <w:szCs w:val="20"/>
              </w:rPr>
              <w:t>R</w:t>
            </w:r>
            <w:r w:rsidRPr="008E67C1">
              <w:rPr>
                <w:sz w:val="18"/>
                <w:szCs w:val="20"/>
              </w:rPr>
              <w:t xml:space="preserve">eport for the </w:t>
            </w:r>
            <w:r w:rsidR="00515309" w:rsidRPr="008B2F77">
              <w:rPr>
                <w:sz w:val="18"/>
                <w:szCs w:val="20"/>
              </w:rPr>
              <w:t>2</w:t>
            </w:r>
            <w:r w:rsidR="00F62FCF" w:rsidRPr="008B2F77">
              <w:rPr>
                <w:sz w:val="18"/>
                <w:szCs w:val="20"/>
              </w:rPr>
              <w:t>4th</w:t>
            </w:r>
            <w:r w:rsidR="00515309" w:rsidRPr="008B2F77">
              <w:rPr>
                <w:sz w:val="18"/>
                <w:szCs w:val="20"/>
              </w:rPr>
              <w:t xml:space="preserve"> </w:t>
            </w:r>
            <w:r w:rsidRPr="008B2F77">
              <w:rPr>
                <w:sz w:val="18"/>
                <w:szCs w:val="20"/>
              </w:rPr>
              <w:t>APLMF meeting (2</w:t>
            </w:r>
            <w:r w:rsidR="00F62FCF" w:rsidRPr="008B2F77">
              <w:rPr>
                <w:sz w:val="18"/>
                <w:szCs w:val="20"/>
              </w:rPr>
              <w:t>5-27</w:t>
            </w:r>
            <w:r w:rsidRPr="008B2F77">
              <w:rPr>
                <w:sz w:val="18"/>
                <w:szCs w:val="20"/>
              </w:rPr>
              <w:t xml:space="preserve"> </w:t>
            </w:r>
            <w:r w:rsidR="00F62FCF" w:rsidRPr="008B2F77">
              <w:rPr>
                <w:sz w:val="18"/>
                <w:szCs w:val="20"/>
              </w:rPr>
              <w:t>October</w:t>
            </w:r>
            <w:r w:rsidRPr="008B2F77">
              <w:rPr>
                <w:sz w:val="18"/>
                <w:szCs w:val="20"/>
              </w:rPr>
              <w:t xml:space="preserve"> 201</w:t>
            </w:r>
            <w:r w:rsidR="00F62FCF" w:rsidRPr="008B2F77">
              <w:rPr>
                <w:sz w:val="18"/>
                <w:szCs w:val="20"/>
              </w:rPr>
              <w:t>7</w:t>
            </w:r>
            <w:r w:rsidRPr="008B2F77">
              <w:rPr>
                <w:sz w:val="18"/>
                <w:szCs w:val="20"/>
              </w:rPr>
              <w:t xml:space="preserve">, in </w:t>
            </w:r>
            <w:proofErr w:type="spellStart"/>
            <w:r w:rsidR="00F62FCF" w:rsidRPr="008B2F77">
              <w:rPr>
                <w:sz w:val="18"/>
                <w:szCs w:val="20"/>
              </w:rPr>
              <w:t>Siem</w:t>
            </w:r>
            <w:proofErr w:type="spellEnd"/>
            <w:r w:rsidR="00F62FCF" w:rsidRPr="008B2F77">
              <w:rPr>
                <w:sz w:val="18"/>
                <w:szCs w:val="20"/>
              </w:rPr>
              <w:t xml:space="preserve"> Reap, Cambodia</w:t>
            </w:r>
            <w:r w:rsidRPr="008B2F77">
              <w:rPr>
                <w:sz w:val="18"/>
                <w:szCs w:val="20"/>
              </w:rPr>
              <w:t>).</w:t>
            </w:r>
            <w:r w:rsidRPr="008E67C1">
              <w:rPr>
                <w:sz w:val="18"/>
                <w:szCs w:val="20"/>
              </w:rPr>
              <w:t xml:space="preserve">  Member economies are not obligated to </w:t>
            </w:r>
            <w:r w:rsidR="00515309" w:rsidRPr="008E67C1">
              <w:rPr>
                <w:sz w:val="18"/>
                <w:szCs w:val="20"/>
              </w:rPr>
              <w:t xml:space="preserve">rigidly </w:t>
            </w:r>
            <w:r w:rsidRPr="008E67C1">
              <w:rPr>
                <w:sz w:val="18"/>
                <w:szCs w:val="20"/>
              </w:rPr>
              <w:t>follow th</w:t>
            </w:r>
            <w:r w:rsidR="00515309" w:rsidRPr="008E67C1">
              <w:rPr>
                <w:sz w:val="18"/>
                <w:szCs w:val="20"/>
              </w:rPr>
              <w:t>is template</w:t>
            </w:r>
            <w:r w:rsidRPr="008E67C1">
              <w:rPr>
                <w:sz w:val="18"/>
                <w:szCs w:val="20"/>
              </w:rPr>
              <w:t>, but should endeavour to provide the</w:t>
            </w:r>
            <w:r w:rsidR="00515309" w:rsidRPr="008E67C1">
              <w:rPr>
                <w:sz w:val="18"/>
                <w:szCs w:val="20"/>
              </w:rPr>
              <w:t xml:space="preserve"> type and level of information outlined in this document in structuring their </w:t>
            </w:r>
            <w:r w:rsidR="0048145C">
              <w:rPr>
                <w:sz w:val="18"/>
                <w:szCs w:val="20"/>
              </w:rPr>
              <w:t>E</w:t>
            </w:r>
            <w:r w:rsidRPr="008E67C1">
              <w:rPr>
                <w:sz w:val="18"/>
                <w:szCs w:val="20"/>
              </w:rPr>
              <w:t xml:space="preserve">conomy </w:t>
            </w:r>
            <w:r w:rsidR="0048145C">
              <w:rPr>
                <w:sz w:val="18"/>
                <w:szCs w:val="20"/>
              </w:rPr>
              <w:t>Re</w:t>
            </w:r>
            <w:r w:rsidRPr="008E67C1">
              <w:rPr>
                <w:sz w:val="18"/>
                <w:szCs w:val="20"/>
              </w:rPr>
              <w:t>port.</w:t>
            </w:r>
          </w:p>
          <w:p w:rsidR="0048145C" w:rsidRPr="003F5AB3" w:rsidRDefault="00A32DEE" w:rsidP="004379DA">
            <w:pPr>
              <w:spacing w:after="120" w:line="264" w:lineRule="auto"/>
              <w:rPr>
                <w:sz w:val="18"/>
                <w:szCs w:val="20"/>
              </w:rPr>
            </w:pPr>
            <w:r w:rsidRPr="003F5AB3">
              <w:rPr>
                <w:sz w:val="18"/>
                <w:szCs w:val="20"/>
              </w:rPr>
              <w:t xml:space="preserve">Economy </w:t>
            </w:r>
            <w:r w:rsidR="008E67C1" w:rsidRPr="003F5AB3">
              <w:rPr>
                <w:sz w:val="18"/>
                <w:szCs w:val="20"/>
              </w:rPr>
              <w:t>Re</w:t>
            </w:r>
            <w:r w:rsidRPr="003F5AB3">
              <w:rPr>
                <w:sz w:val="18"/>
                <w:szCs w:val="20"/>
              </w:rPr>
              <w:t>port</w:t>
            </w:r>
            <w:r w:rsidR="008E67C1" w:rsidRPr="003F5AB3">
              <w:rPr>
                <w:sz w:val="18"/>
                <w:szCs w:val="20"/>
              </w:rPr>
              <w:t xml:space="preserve">s must </w:t>
            </w:r>
            <w:r w:rsidRPr="003F5AB3">
              <w:rPr>
                <w:sz w:val="18"/>
                <w:szCs w:val="20"/>
              </w:rPr>
              <w:t xml:space="preserve">be </w:t>
            </w:r>
            <w:r w:rsidRPr="003F5AB3">
              <w:rPr>
                <w:b/>
                <w:sz w:val="18"/>
                <w:szCs w:val="20"/>
              </w:rPr>
              <w:t xml:space="preserve">completed and returned </w:t>
            </w:r>
            <w:r w:rsidRPr="003F5AB3">
              <w:rPr>
                <w:sz w:val="18"/>
                <w:szCs w:val="20"/>
              </w:rPr>
              <w:t>to the Secretariat</w:t>
            </w:r>
            <w:r w:rsidRPr="003F5AB3">
              <w:rPr>
                <w:b/>
                <w:sz w:val="18"/>
                <w:szCs w:val="20"/>
              </w:rPr>
              <w:t xml:space="preserve"> by </w:t>
            </w:r>
            <w:r w:rsidR="001D18C7" w:rsidRPr="003F5AB3">
              <w:rPr>
                <w:b/>
                <w:sz w:val="18"/>
                <w:szCs w:val="20"/>
              </w:rPr>
              <w:t xml:space="preserve">Friday </w:t>
            </w:r>
            <w:r w:rsidR="008B2F77" w:rsidRPr="003F5AB3">
              <w:rPr>
                <w:b/>
                <w:sz w:val="18"/>
                <w:szCs w:val="20"/>
              </w:rPr>
              <w:t>8</w:t>
            </w:r>
            <w:r w:rsidR="00F62FCF" w:rsidRPr="003F5AB3">
              <w:rPr>
                <w:b/>
                <w:sz w:val="18"/>
                <w:szCs w:val="20"/>
              </w:rPr>
              <w:t xml:space="preserve"> September 2017</w:t>
            </w:r>
            <w:r w:rsidRPr="003F5AB3">
              <w:rPr>
                <w:sz w:val="18"/>
                <w:szCs w:val="20"/>
              </w:rPr>
              <w:t xml:space="preserve"> </w:t>
            </w:r>
            <w:r w:rsidR="00515309" w:rsidRPr="003F5AB3">
              <w:rPr>
                <w:sz w:val="18"/>
                <w:szCs w:val="20"/>
              </w:rPr>
              <w:t xml:space="preserve">– this will provide sufficient time </w:t>
            </w:r>
            <w:r w:rsidR="008E67C1" w:rsidRPr="003F5AB3">
              <w:rPr>
                <w:sz w:val="18"/>
                <w:szCs w:val="20"/>
              </w:rPr>
              <w:t xml:space="preserve">for </w:t>
            </w:r>
            <w:r w:rsidR="00515309" w:rsidRPr="003F5AB3">
              <w:rPr>
                <w:sz w:val="18"/>
                <w:szCs w:val="20"/>
              </w:rPr>
              <w:t>the Secretariat to upload your report</w:t>
            </w:r>
            <w:r w:rsidR="00F62FCF" w:rsidRPr="003F5AB3">
              <w:rPr>
                <w:sz w:val="18"/>
                <w:szCs w:val="20"/>
              </w:rPr>
              <w:t xml:space="preserve"> to the Meeting webpage</w:t>
            </w:r>
            <w:r w:rsidR="00515309" w:rsidRPr="003F5AB3">
              <w:rPr>
                <w:sz w:val="18"/>
                <w:szCs w:val="20"/>
              </w:rPr>
              <w:t xml:space="preserve"> </w:t>
            </w:r>
            <w:r w:rsidR="00F62FCF" w:rsidRPr="003F5AB3">
              <w:rPr>
                <w:sz w:val="18"/>
                <w:szCs w:val="20"/>
              </w:rPr>
              <w:t xml:space="preserve">so </w:t>
            </w:r>
            <w:r w:rsidR="001D18C7" w:rsidRPr="003F5AB3">
              <w:rPr>
                <w:sz w:val="18"/>
                <w:szCs w:val="20"/>
              </w:rPr>
              <w:t>delegates</w:t>
            </w:r>
            <w:r w:rsidR="008E67C1" w:rsidRPr="003F5AB3">
              <w:rPr>
                <w:sz w:val="18"/>
                <w:szCs w:val="20"/>
              </w:rPr>
              <w:t xml:space="preserve"> </w:t>
            </w:r>
            <w:r w:rsidR="00F62FCF" w:rsidRPr="003F5AB3">
              <w:rPr>
                <w:sz w:val="18"/>
                <w:szCs w:val="20"/>
              </w:rPr>
              <w:t xml:space="preserve">can view </w:t>
            </w:r>
            <w:r w:rsidR="009A057D" w:rsidRPr="003F5AB3">
              <w:rPr>
                <w:sz w:val="18"/>
                <w:szCs w:val="20"/>
              </w:rPr>
              <w:t xml:space="preserve">the </w:t>
            </w:r>
            <w:r w:rsidR="00F62FCF" w:rsidRPr="003F5AB3">
              <w:rPr>
                <w:sz w:val="18"/>
                <w:szCs w:val="20"/>
              </w:rPr>
              <w:t xml:space="preserve">report </w:t>
            </w:r>
            <w:r w:rsidR="00184FDC" w:rsidRPr="003F5AB3">
              <w:rPr>
                <w:sz w:val="18"/>
                <w:szCs w:val="20"/>
              </w:rPr>
              <w:t>one</w:t>
            </w:r>
            <w:r w:rsidR="00515309" w:rsidRPr="003F5AB3">
              <w:rPr>
                <w:sz w:val="18"/>
                <w:szCs w:val="20"/>
              </w:rPr>
              <w:t xml:space="preserve"> month prior to the meeting.  It is expected that all </w:t>
            </w:r>
            <w:r w:rsidR="009A057D" w:rsidRPr="003F5AB3">
              <w:rPr>
                <w:sz w:val="18"/>
                <w:szCs w:val="20"/>
              </w:rPr>
              <w:t xml:space="preserve">delegates </w:t>
            </w:r>
            <w:r w:rsidR="00515309" w:rsidRPr="003F5AB3">
              <w:rPr>
                <w:sz w:val="18"/>
                <w:szCs w:val="20"/>
              </w:rPr>
              <w:t xml:space="preserve">will have </w:t>
            </w:r>
            <w:r w:rsidR="001D4E74" w:rsidRPr="003F5AB3">
              <w:rPr>
                <w:sz w:val="18"/>
                <w:szCs w:val="20"/>
              </w:rPr>
              <w:t xml:space="preserve">looked over and considered </w:t>
            </w:r>
            <w:r w:rsidR="00515309" w:rsidRPr="003F5AB3">
              <w:rPr>
                <w:sz w:val="18"/>
                <w:szCs w:val="20"/>
              </w:rPr>
              <w:t xml:space="preserve">the </w:t>
            </w:r>
            <w:r w:rsidR="001D4E74" w:rsidRPr="003F5AB3">
              <w:rPr>
                <w:sz w:val="18"/>
                <w:szCs w:val="20"/>
              </w:rPr>
              <w:t xml:space="preserve">various </w:t>
            </w:r>
            <w:r w:rsidR="00515309" w:rsidRPr="003F5AB3">
              <w:rPr>
                <w:sz w:val="18"/>
                <w:szCs w:val="20"/>
              </w:rPr>
              <w:t xml:space="preserve">economy reports prior to the </w:t>
            </w:r>
            <w:r w:rsidR="00F62FCF" w:rsidRPr="003F5AB3">
              <w:rPr>
                <w:sz w:val="18"/>
                <w:szCs w:val="20"/>
              </w:rPr>
              <w:t>Cambodia</w:t>
            </w:r>
            <w:r w:rsidR="001D4E74" w:rsidRPr="003F5AB3">
              <w:rPr>
                <w:sz w:val="18"/>
                <w:szCs w:val="20"/>
              </w:rPr>
              <w:t xml:space="preserve"> meeting</w:t>
            </w:r>
            <w:r w:rsidR="00515309" w:rsidRPr="003F5AB3">
              <w:rPr>
                <w:sz w:val="18"/>
                <w:szCs w:val="20"/>
              </w:rPr>
              <w:t xml:space="preserve">.  </w:t>
            </w:r>
          </w:p>
          <w:p w:rsidR="004379DA" w:rsidRPr="003F5AB3" w:rsidRDefault="00515309" w:rsidP="004379DA">
            <w:pPr>
              <w:spacing w:after="120" w:line="264" w:lineRule="auto"/>
              <w:rPr>
                <w:sz w:val="18"/>
                <w:szCs w:val="20"/>
              </w:rPr>
            </w:pPr>
            <w:r w:rsidRPr="003F5AB3">
              <w:rPr>
                <w:sz w:val="18"/>
                <w:szCs w:val="20"/>
              </w:rPr>
              <w:t xml:space="preserve">Accordingly, </w:t>
            </w:r>
            <w:r w:rsidR="001D4E74" w:rsidRPr="003F5AB3">
              <w:rPr>
                <w:sz w:val="18"/>
                <w:szCs w:val="20"/>
              </w:rPr>
              <w:t xml:space="preserve">as attendees will have considered your </w:t>
            </w:r>
            <w:r w:rsidR="00184FDC" w:rsidRPr="003F5AB3">
              <w:rPr>
                <w:sz w:val="18"/>
                <w:szCs w:val="20"/>
              </w:rPr>
              <w:t>Economy R</w:t>
            </w:r>
            <w:r w:rsidR="001D4E74" w:rsidRPr="003F5AB3">
              <w:rPr>
                <w:sz w:val="18"/>
                <w:szCs w:val="20"/>
              </w:rPr>
              <w:t xml:space="preserve">eport, </w:t>
            </w:r>
            <w:r w:rsidR="0048145C" w:rsidRPr="003F5AB3">
              <w:rPr>
                <w:sz w:val="18"/>
                <w:szCs w:val="20"/>
              </w:rPr>
              <w:t xml:space="preserve">you </w:t>
            </w:r>
            <w:r w:rsidRPr="003F5AB3">
              <w:rPr>
                <w:sz w:val="18"/>
                <w:szCs w:val="20"/>
              </w:rPr>
              <w:t xml:space="preserve">will not be required to deliver a detailed </w:t>
            </w:r>
            <w:r w:rsidR="00A32DEE" w:rsidRPr="003F5AB3">
              <w:rPr>
                <w:sz w:val="18"/>
                <w:szCs w:val="20"/>
              </w:rPr>
              <w:t>presentation</w:t>
            </w:r>
            <w:r w:rsidR="00184FDC" w:rsidRPr="003F5AB3">
              <w:rPr>
                <w:sz w:val="18"/>
                <w:szCs w:val="20"/>
              </w:rPr>
              <w:t>.  I</w:t>
            </w:r>
            <w:r w:rsidRPr="003F5AB3">
              <w:rPr>
                <w:sz w:val="18"/>
                <w:szCs w:val="20"/>
              </w:rPr>
              <w:t>nstea</w:t>
            </w:r>
            <w:r w:rsidR="00184FDC" w:rsidRPr="003F5AB3">
              <w:rPr>
                <w:sz w:val="18"/>
                <w:szCs w:val="20"/>
              </w:rPr>
              <w:t xml:space="preserve">d </w:t>
            </w:r>
            <w:r w:rsidR="00F62FCF" w:rsidRPr="003F5AB3">
              <w:rPr>
                <w:sz w:val="18"/>
                <w:szCs w:val="20"/>
              </w:rPr>
              <w:t xml:space="preserve">this year </w:t>
            </w:r>
            <w:r w:rsidR="00184FDC" w:rsidRPr="003F5AB3">
              <w:rPr>
                <w:sz w:val="18"/>
                <w:szCs w:val="20"/>
              </w:rPr>
              <w:t xml:space="preserve">we </w:t>
            </w:r>
            <w:r w:rsidR="0048145C" w:rsidRPr="003F5AB3">
              <w:rPr>
                <w:sz w:val="18"/>
                <w:szCs w:val="20"/>
              </w:rPr>
              <w:t>ask</w:t>
            </w:r>
            <w:r w:rsidR="00184FDC" w:rsidRPr="003F5AB3">
              <w:rPr>
                <w:sz w:val="18"/>
                <w:szCs w:val="20"/>
              </w:rPr>
              <w:t xml:space="preserve"> you </w:t>
            </w:r>
            <w:r w:rsidR="0048145C" w:rsidRPr="003F5AB3">
              <w:rPr>
                <w:sz w:val="18"/>
                <w:szCs w:val="20"/>
              </w:rPr>
              <w:t xml:space="preserve">to </w:t>
            </w:r>
            <w:r w:rsidRPr="003F5AB3">
              <w:rPr>
                <w:b/>
                <w:sz w:val="18"/>
                <w:szCs w:val="20"/>
              </w:rPr>
              <w:t xml:space="preserve">identify </w:t>
            </w:r>
            <w:r w:rsidR="00F62FCF" w:rsidRPr="003F5AB3">
              <w:rPr>
                <w:b/>
                <w:sz w:val="18"/>
                <w:szCs w:val="20"/>
              </w:rPr>
              <w:t>3</w:t>
            </w:r>
            <w:r w:rsidRPr="003F5AB3">
              <w:rPr>
                <w:b/>
                <w:sz w:val="18"/>
                <w:szCs w:val="20"/>
              </w:rPr>
              <w:t xml:space="preserve"> highlights </w:t>
            </w:r>
            <w:r w:rsidR="00EA5191" w:rsidRPr="003F5AB3">
              <w:rPr>
                <w:b/>
                <w:sz w:val="18"/>
                <w:szCs w:val="20"/>
              </w:rPr>
              <w:t xml:space="preserve">in your Report, and </w:t>
            </w:r>
            <w:r w:rsidR="00F62FCF" w:rsidRPr="003F5AB3">
              <w:rPr>
                <w:b/>
                <w:sz w:val="18"/>
                <w:szCs w:val="20"/>
              </w:rPr>
              <w:t>develop these into an A</w:t>
            </w:r>
            <w:r w:rsidR="008B2F77" w:rsidRPr="003F5AB3">
              <w:rPr>
                <w:b/>
                <w:sz w:val="18"/>
                <w:szCs w:val="20"/>
              </w:rPr>
              <w:t>2</w:t>
            </w:r>
            <w:r w:rsidR="00F62FCF" w:rsidRPr="003F5AB3">
              <w:rPr>
                <w:b/>
                <w:sz w:val="18"/>
                <w:szCs w:val="20"/>
              </w:rPr>
              <w:t xml:space="preserve"> poster.</w:t>
            </w:r>
            <w:r w:rsidR="00F62FCF" w:rsidRPr="003F5AB3">
              <w:rPr>
                <w:sz w:val="18"/>
                <w:szCs w:val="20"/>
              </w:rPr>
              <w:t xml:space="preserve">  Posters will be displayed throughout the Forum and time will be allocated for Economy representatives to attend their Posters, and delegates will be able to circulate and </w:t>
            </w:r>
            <w:r w:rsidR="002435F5" w:rsidRPr="003F5AB3">
              <w:rPr>
                <w:sz w:val="18"/>
                <w:szCs w:val="20"/>
              </w:rPr>
              <w:t>spend time asking questions</w:t>
            </w:r>
            <w:r w:rsidR="0048145C" w:rsidRPr="003F5AB3">
              <w:rPr>
                <w:sz w:val="18"/>
                <w:szCs w:val="20"/>
              </w:rPr>
              <w:t xml:space="preserve">. </w:t>
            </w:r>
            <w:r w:rsidRPr="003F5AB3">
              <w:rPr>
                <w:sz w:val="18"/>
                <w:szCs w:val="20"/>
              </w:rPr>
              <w:t xml:space="preserve"> </w:t>
            </w:r>
          </w:p>
          <w:p w:rsidR="002435F5" w:rsidRDefault="004379DA" w:rsidP="004379DA">
            <w:pPr>
              <w:spacing w:after="120" w:line="264" w:lineRule="auto"/>
              <w:rPr>
                <w:sz w:val="18"/>
                <w:szCs w:val="20"/>
              </w:rPr>
            </w:pPr>
            <w:r w:rsidRPr="003F5AB3">
              <w:rPr>
                <w:sz w:val="18"/>
                <w:szCs w:val="20"/>
              </w:rPr>
              <w:t>P</w:t>
            </w:r>
            <w:r w:rsidR="002435F5" w:rsidRPr="003F5AB3">
              <w:rPr>
                <w:sz w:val="18"/>
                <w:szCs w:val="20"/>
              </w:rPr>
              <w:t>osters can include picture</w:t>
            </w:r>
            <w:r w:rsidR="008B2F77" w:rsidRPr="003F5AB3">
              <w:rPr>
                <w:sz w:val="18"/>
                <w:szCs w:val="20"/>
              </w:rPr>
              <w:t>s</w:t>
            </w:r>
            <w:r w:rsidR="002435F5" w:rsidRPr="003F5AB3">
              <w:rPr>
                <w:sz w:val="18"/>
                <w:szCs w:val="20"/>
              </w:rPr>
              <w:t xml:space="preserve"> and diagrams to briefly explain your highlights but must fit on 1 A</w:t>
            </w:r>
            <w:r w:rsidR="008B2F77" w:rsidRPr="003F5AB3">
              <w:rPr>
                <w:sz w:val="18"/>
                <w:szCs w:val="20"/>
              </w:rPr>
              <w:t>2</w:t>
            </w:r>
            <w:r w:rsidR="002435F5" w:rsidRPr="003F5AB3">
              <w:rPr>
                <w:sz w:val="18"/>
                <w:szCs w:val="20"/>
              </w:rPr>
              <w:t xml:space="preserve"> page.  Your poster must be provided to </w:t>
            </w:r>
            <w:hyperlink r:id="rId8" w:history="1">
              <w:r w:rsidR="002435F5" w:rsidRPr="003F5AB3">
                <w:rPr>
                  <w:rStyle w:val="Hyperlink"/>
                  <w:sz w:val="18"/>
                  <w:szCs w:val="20"/>
                </w:rPr>
                <w:t>secretariat@aplmf.org</w:t>
              </w:r>
            </w:hyperlink>
            <w:r w:rsidR="002435F5" w:rsidRPr="003F5AB3">
              <w:rPr>
                <w:sz w:val="18"/>
                <w:szCs w:val="20"/>
              </w:rPr>
              <w:t xml:space="preserve"> before </w:t>
            </w:r>
            <w:r w:rsidR="001D18C7" w:rsidRPr="003F5AB3">
              <w:rPr>
                <w:b/>
                <w:sz w:val="18"/>
                <w:szCs w:val="20"/>
              </w:rPr>
              <w:t xml:space="preserve">Friday </w:t>
            </w:r>
            <w:r w:rsidR="003F5AB3" w:rsidRPr="003F5AB3">
              <w:rPr>
                <w:b/>
                <w:sz w:val="18"/>
                <w:szCs w:val="20"/>
              </w:rPr>
              <w:t>6</w:t>
            </w:r>
            <w:r w:rsidR="001D18C7" w:rsidRPr="003F5AB3">
              <w:rPr>
                <w:b/>
                <w:sz w:val="18"/>
                <w:szCs w:val="20"/>
              </w:rPr>
              <w:t>th</w:t>
            </w:r>
            <w:r w:rsidR="002435F5" w:rsidRPr="003F5AB3">
              <w:rPr>
                <w:b/>
                <w:sz w:val="18"/>
                <w:szCs w:val="20"/>
              </w:rPr>
              <w:t xml:space="preserve"> October</w:t>
            </w:r>
            <w:r w:rsidR="003F5AB3" w:rsidRPr="003F5AB3">
              <w:rPr>
                <w:b/>
                <w:sz w:val="18"/>
                <w:szCs w:val="20"/>
              </w:rPr>
              <w:t xml:space="preserve"> 2017</w:t>
            </w:r>
            <w:r w:rsidR="002435F5" w:rsidRPr="003F5AB3">
              <w:rPr>
                <w:sz w:val="18"/>
                <w:szCs w:val="20"/>
              </w:rPr>
              <w:t xml:space="preserve"> so these can be printed by the Secretariat in advance of the meeting.</w:t>
            </w:r>
            <w:r w:rsidR="002435F5">
              <w:rPr>
                <w:sz w:val="18"/>
                <w:szCs w:val="20"/>
              </w:rPr>
              <w:t xml:space="preserve"> </w:t>
            </w:r>
          </w:p>
          <w:p w:rsidR="00A32DEE" w:rsidRPr="008E67C1" w:rsidRDefault="0048145C" w:rsidP="00A32DEE">
            <w:pPr>
              <w:rPr>
                <w:sz w:val="18"/>
                <w:szCs w:val="20"/>
              </w:rPr>
            </w:pPr>
            <w:r w:rsidRPr="00184FDC">
              <w:rPr>
                <w:b/>
                <w:szCs w:val="20"/>
              </w:rPr>
              <w:t>NOTE:</w:t>
            </w:r>
            <w:r w:rsidRPr="00184FDC">
              <w:rPr>
                <w:szCs w:val="20"/>
              </w:rPr>
              <w:t xml:space="preserve"> </w:t>
            </w:r>
            <w:r w:rsidRPr="00184FDC">
              <w:rPr>
                <w:b/>
                <w:sz w:val="24"/>
                <w:szCs w:val="20"/>
              </w:rPr>
              <w:t xml:space="preserve"> </w:t>
            </w:r>
            <w:r w:rsidR="00184FDC">
              <w:rPr>
                <w:b/>
                <w:sz w:val="20"/>
                <w:szCs w:val="20"/>
              </w:rPr>
              <w:t xml:space="preserve">Remove the instruction boxes </w:t>
            </w:r>
            <w:r w:rsidRPr="00184FDC">
              <w:rPr>
                <w:b/>
                <w:sz w:val="20"/>
                <w:szCs w:val="20"/>
              </w:rPr>
              <w:t>from your final document before submission</w:t>
            </w:r>
          </w:p>
        </w:tc>
      </w:tr>
    </w:tbl>
    <w:p w:rsidR="00B42A38" w:rsidRPr="00B42A38" w:rsidRDefault="00B42A38" w:rsidP="00B42A38"/>
    <w:p w:rsidR="00AF1A45" w:rsidRDefault="00AF1A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B42A38" w:rsidRPr="00AF1A45" w:rsidTr="001D4E74">
        <w:tc>
          <w:tcPr>
            <w:tcW w:w="3369" w:type="dxa"/>
          </w:tcPr>
          <w:p w:rsidR="00AF1A45" w:rsidRPr="00AF1A45" w:rsidRDefault="00AF1A45" w:rsidP="00A8583B">
            <w:pPr>
              <w:spacing w:after="120"/>
              <w:rPr>
                <w:sz w:val="24"/>
              </w:rPr>
            </w:pPr>
            <w:r w:rsidRPr="00AF1A45">
              <w:rPr>
                <w:sz w:val="24"/>
              </w:rPr>
              <w:t xml:space="preserve">Report </w:t>
            </w:r>
            <w:r w:rsidR="00A8583B">
              <w:rPr>
                <w:sz w:val="24"/>
              </w:rPr>
              <w:t>developed</w:t>
            </w:r>
            <w:r w:rsidR="001D4E74">
              <w:rPr>
                <w:sz w:val="24"/>
              </w:rPr>
              <w:t>/</w:t>
            </w:r>
            <w:r w:rsidR="0048145C">
              <w:rPr>
                <w:sz w:val="24"/>
              </w:rPr>
              <w:t xml:space="preserve">approved </w:t>
            </w:r>
            <w:r w:rsidRPr="00AF1A45">
              <w:rPr>
                <w:sz w:val="24"/>
              </w:rPr>
              <w:t>by</w:t>
            </w:r>
          </w:p>
        </w:tc>
        <w:tc>
          <w:tcPr>
            <w:tcW w:w="5811" w:type="dxa"/>
          </w:tcPr>
          <w:p w:rsidR="00AF1A45" w:rsidRPr="00AF1A45" w:rsidRDefault="006D69BD" w:rsidP="00AF1A45">
            <w:pPr>
              <w:spacing w:after="120"/>
              <w:rPr>
                <w:sz w:val="24"/>
              </w:rPr>
            </w:pPr>
            <w:r w:rsidRPr="006D69BD">
              <w:rPr>
                <w:sz w:val="24"/>
              </w:rPr>
              <w:t>Davis White</w:t>
            </w:r>
          </w:p>
        </w:tc>
      </w:tr>
      <w:tr w:rsidR="00B42A38" w:rsidRPr="00AF1A45" w:rsidTr="001D4E74">
        <w:tc>
          <w:tcPr>
            <w:tcW w:w="3369" w:type="dxa"/>
          </w:tcPr>
          <w:p w:rsidR="00AF1A45" w:rsidRPr="00AF1A45" w:rsidRDefault="00B42A38" w:rsidP="00AF1A45">
            <w:pPr>
              <w:spacing w:after="120"/>
              <w:rPr>
                <w:sz w:val="24"/>
              </w:rPr>
            </w:pPr>
            <w:r>
              <w:rPr>
                <w:sz w:val="24"/>
              </w:rPr>
              <w:t xml:space="preserve">Position </w:t>
            </w:r>
          </w:p>
        </w:tc>
        <w:tc>
          <w:tcPr>
            <w:tcW w:w="5811" w:type="dxa"/>
          </w:tcPr>
          <w:p w:rsidR="00AF1A45" w:rsidRPr="00AF1A45" w:rsidRDefault="006D69BD" w:rsidP="00AF1A45">
            <w:pPr>
              <w:spacing w:after="120"/>
              <w:rPr>
                <w:sz w:val="24"/>
              </w:rPr>
            </w:pPr>
            <w:r w:rsidRPr="006D69BD">
              <w:rPr>
                <w:sz w:val="24"/>
              </w:rPr>
              <w:t>Legal Metrology Advisor (Acting)</w:t>
            </w:r>
          </w:p>
        </w:tc>
      </w:tr>
      <w:tr w:rsidR="00B42A38" w:rsidRPr="00AF1A45" w:rsidTr="001D4E74">
        <w:tc>
          <w:tcPr>
            <w:tcW w:w="3369" w:type="dxa"/>
          </w:tcPr>
          <w:p w:rsidR="00AF1A45" w:rsidRPr="00AF1A45" w:rsidRDefault="00AF1A45" w:rsidP="00AF1A45">
            <w:pPr>
              <w:spacing w:after="120"/>
              <w:rPr>
                <w:sz w:val="24"/>
              </w:rPr>
            </w:pPr>
            <w:r w:rsidRPr="00AF1A45">
              <w:rPr>
                <w:sz w:val="24"/>
              </w:rPr>
              <w:t xml:space="preserve">Organisation </w:t>
            </w:r>
          </w:p>
        </w:tc>
        <w:tc>
          <w:tcPr>
            <w:tcW w:w="5811" w:type="dxa"/>
          </w:tcPr>
          <w:p w:rsidR="00AF1A45" w:rsidRPr="00AF1A45" w:rsidRDefault="006D69BD" w:rsidP="00AF1A45">
            <w:pPr>
              <w:spacing w:after="120"/>
              <w:rPr>
                <w:sz w:val="24"/>
              </w:rPr>
            </w:pPr>
            <w:r w:rsidRPr="006D69BD">
              <w:rPr>
                <w:sz w:val="24"/>
              </w:rPr>
              <w:t>Ministry of Business, Innovation and Employment</w:t>
            </w:r>
          </w:p>
        </w:tc>
      </w:tr>
      <w:tr w:rsidR="00B42A38" w:rsidRPr="00AF1A45" w:rsidTr="001D4E74">
        <w:tc>
          <w:tcPr>
            <w:tcW w:w="3369" w:type="dxa"/>
          </w:tcPr>
          <w:p w:rsidR="00AF1A45" w:rsidRPr="00AF1A45" w:rsidRDefault="00AF1A45" w:rsidP="00AF1A45">
            <w:pPr>
              <w:spacing w:after="120"/>
              <w:rPr>
                <w:sz w:val="24"/>
              </w:rPr>
            </w:pPr>
            <w:r w:rsidRPr="00AF1A45">
              <w:rPr>
                <w:sz w:val="24"/>
              </w:rPr>
              <w:t xml:space="preserve">Contact details </w:t>
            </w:r>
          </w:p>
        </w:tc>
        <w:tc>
          <w:tcPr>
            <w:tcW w:w="5811" w:type="dxa"/>
          </w:tcPr>
          <w:p w:rsidR="00AF1A45" w:rsidRPr="00AF1A45" w:rsidRDefault="006D69BD" w:rsidP="00AF1A45">
            <w:pPr>
              <w:spacing w:after="120"/>
              <w:rPr>
                <w:sz w:val="24"/>
              </w:rPr>
            </w:pPr>
            <w:r w:rsidRPr="006D69BD">
              <w:rPr>
                <w:sz w:val="24"/>
              </w:rPr>
              <w:t>davis.white@mbie.govt.nz</w:t>
            </w:r>
          </w:p>
        </w:tc>
      </w:tr>
    </w:tbl>
    <w:p w:rsidR="00DD1F87" w:rsidRDefault="00DD1F87">
      <w:pPr>
        <w:spacing w:after="200" w:line="276" w:lineRule="auto"/>
        <w:rPr>
          <w:rFonts w:asciiTheme="majorHAnsi" w:eastAsiaTheme="majorEastAsia" w:hAnsiTheme="majorHAnsi" w:cstheme="majorBidi"/>
          <w:b/>
          <w:bCs/>
          <w:color w:val="365F91" w:themeColor="accent1" w:themeShade="BF"/>
          <w:sz w:val="32"/>
          <w:szCs w:val="28"/>
        </w:rPr>
      </w:pPr>
      <w:r>
        <w:br w:type="page"/>
      </w:r>
    </w:p>
    <w:p w:rsidR="00F05746" w:rsidRPr="008E67C1" w:rsidRDefault="00F05746" w:rsidP="008E67C1">
      <w:pPr>
        <w:pStyle w:val="Heading1"/>
      </w:pPr>
      <w:r w:rsidRPr="008E67C1">
        <w:t>S</w:t>
      </w:r>
      <w:r w:rsidR="00A32DEE" w:rsidRPr="008E67C1">
        <w:t xml:space="preserve">ECTION </w:t>
      </w:r>
      <w:r w:rsidRPr="008E67C1">
        <w:t xml:space="preserve">1 </w:t>
      </w:r>
      <w:r w:rsidR="00515309" w:rsidRPr="008E67C1">
        <w:t>–</w:t>
      </w:r>
      <w:r w:rsidRPr="008E67C1">
        <w:t xml:space="preserve"> O</w:t>
      </w:r>
      <w:r w:rsidR="00515309" w:rsidRPr="008E67C1">
        <w:t xml:space="preserve">rganisation and structure for metrology </w:t>
      </w:r>
    </w:p>
    <w:p w:rsidR="00F05746" w:rsidRDefault="00F057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242"/>
      </w:tblGrid>
      <w:tr w:rsidR="0057327F" w:rsidRPr="0057327F" w:rsidTr="00DD1F87">
        <w:tc>
          <w:tcPr>
            <w:tcW w:w="9242" w:type="dxa"/>
            <w:shd w:val="clear" w:color="auto" w:fill="FBD4B4" w:themeFill="accent6" w:themeFillTint="66"/>
          </w:tcPr>
          <w:p w:rsidR="0057327F" w:rsidRPr="00DD1F87" w:rsidRDefault="0057327F" w:rsidP="00DD1F87">
            <w:pPr>
              <w:spacing w:before="120" w:after="120" w:line="252" w:lineRule="auto"/>
              <w:rPr>
                <w:i/>
                <w:sz w:val="20"/>
              </w:rPr>
            </w:pPr>
            <w:r w:rsidRPr="00DD1F87">
              <w:rPr>
                <w:i/>
                <w:sz w:val="20"/>
              </w:rPr>
              <w:t>Please provide a high-level outline of your economy’s metrology structure</w:t>
            </w:r>
            <w:r w:rsidR="00DD1F87" w:rsidRPr="00DD1F87">
              <w:rPr>
                <w:i/>
                <w:sz w:val="20"/>
              </w:rPr>
              <w:t>/infrastructure</w:t>
            </w:r>
            <w:r w:rsidR="00EA5191">
              <w:rPr>
                <w:i/>
                <w:sz w:val="20"/>
              </w:rPr>
              <w:t>.  O</w:t>
            </w:r>
            <w:r w:rsidR="00DD1F87" w:rsidRPr="00DD1F87">
              <w:rPr>
                <w:i/>
                <w:sz w:val="20"/>
              </w:rPr>
              <w:t xml:space="preserve">utline </w:t>
            </w:r>
            <w:r w:rsidRPr="00DD1F87">
              <w:rPr>
                <w:i/>
                <w:sz w:val="20"/>
              </w:rPr>
              <w:t>any changes that have been made in terms of:</w:t>
            </w:r>
          </w:p>
          <w:p w:rsidR="0057327F" w:rsidRPr="00DD1F87" w:rsidRDefault="0057327F" w:rsidP="00DD1F87">
            <w:pPr>
              <w:pStyle w:val="ListParagraph"/>
              <w:numPr>
                <w:ilvl w:val="0"/>
                <w:numId w:val="11"/>
              </w:numPr>
              <w:spacing w:after="60" w:line="252" w:lineRule="auto"/>
              <w:ind w:hanging="357"/>
              <w:contextualSpacing w:val="0"/>
              <w:rPr>
                <w:sz w:val="20"/>
              </w:rPr>
            </w:pPr>
            <w:r w:rsidRPr="00DD1F87">
              <w:rPr>
                <w:i/>
                <w:sz w:val="20"/>
              </w:rPr>
              <w:t>Institutions/agencies, personnel numbers and/or key appointments at those organisations, changes in functions/responsibilities</w:t>
            </w:r>
          </w:p>
          <w:p w:rsidR="0057327F" w:rsidRPr="00DD1F87" w:rsidRDefault="0057327F" w:rsidP="00DD1F87">
            <w:pPr>
              <w:pStyle w:val="ListParagraph"/>
              <w:numPr>
                <w:ilvl w:val="0"/>
                <w:numId w:val="11"/>
              </w:numPr>
              <w:spacing w:after="60" w:line="252" w:lineRule="auto"/>
              <w:ind w:hanging="357"/>
              <w:contextualSpacing w:val="0"/>
              <w:rPr>
                <w:sz w:val="20"/>
              </w:rPr>
            </w:pPr>
            <w:r w:rsidRPr="00DD1F87">
              <w:rPr>
                <w:i/>
                <w:sz w:val="20"/>
              </w:rPr>
              <w:t xml:space="preserve">Legislation that you operate under, and any legislative updates or case law that has altered the way you function  </w:t>
            </w:r>
          </w:p>
          <w:p w:rsidR="000466F3" w:rsidRDefault="000466F3" w:rsidP="00DD1F87">
            <w:pPr>
              <w:pStyle w:val="ListParagraph"/>
              <w:numPr>
                <w:ilvl w:val="0"/>
                <w:numId w:val="3"/>
              </w:numPr>
              <w:spacing w:after="60" w:line="252" w:lineRule="auto"/>
              <w:ind w:hanging="357"/>
              <w:contextualSpacing w:val="0"/>
              <w:rPr>
                <w:i/>
                <w:sz w:val="20"/>
              </w:rPr>
            </w:pPr>
            <w:r w:rsidRPr="00DD1F87">
              <w:rPr>
                <w:i/>
                <w:sz w:val="20"/>
              </w:rPr>
              <w:t>International arrangements and engagement activities (e</w:t>
            </w:r>
            <w:r w:rsidR="009A057D">
              <w:rPr>
                <w:i/>
                <w:sz w:val="20"/>
              </w:rPr>
              <w:t>.</w:t>
            </w:r>
            <w:r w:rsidRPr="00DD1F87">
              <w:rPr>
                <w:i/>
                <w:sz w:val="20"/>
              </w:rPr>
              <w:t>g</w:t>
            </w:r>
            <w:r w:rsidR="009A057D">
              <w:rPr>
                <w:i/>
                <w:sz w:val="20"/>
              </w:rPr>
              <w:t>.</w:t>
            </w:r>
            <w:r w:rsidRPr="00DD1F87">
              <w:rPr>
                <w:i/>
                <w:sz w:val="20"/>
              </w:rPr>
              <w:t xml:space="preserve"> signing of agreements</w:t>
            </w:r>
            <w:r w:rsidR="00DD1F87" w:rsidRPr="00DD1F87">
              <w:rPr>
                <w:i/>
                <w:sz w:val="20"/>
              </w:rPr>
              <w:t>, t</w:t>
            </w:r>
            <w:r w:rsidRPr="00DD1F87">
              <w:rPr>
                <w:i/>
                <w:sz w:val="20"/>
              </w:rPr>
              <w:t xml:space="preserve">raining attended / </w:t>
            </w:r>
            <w:r w:rsidR="009A057D">
              <w:rPr>
                <w:i/>
                <w:sz w:val="20"/>
              </w:rPr>
              <w:t xml:space="preserve">supported/ </w:t>
            </w:r>
            <w:r w:rsidRPr="00DD1F87">
              <w:rPr>
                <w:i/>
                <w:sz w:val="20"/>
              </w:rPr>
              <w:t>hosted</w:t>
            </w:r>
            <w:r w:rsidR="00996210">
              <w:rPr>
                <w:i/>
                <w:sz w:val="20"/>
              </w:rPr>
              <w:t>,</w:t>
            </w:r>
            <w:r w:rsidR="003F5AB3">
              <w:rPr>
                <w:i/>
                <w:sz w:val="20"/>
              </w:rPr>
              <w:t xml:space="preserve"> </w:t>
            </w:r>
            <w:r w:rsidR="00CC17C6">
              <w:rPr>
                <w:i/>
                <w:sz w:val="20"/>
              </w:rPr>
              <w:t>(including MEDEA training</w:t>
            </w:r>
            <w:r w:rsidR="00996210">
              <w:rPr>
                <w:i/>
                <w:sz w:val="20"/>
              </w:rPr>
              <w:t>,</w:t>
            </w:r>
            <w:r w:rsidR="00DD1F87" w:rsidRPr="00DD1F87">
              <w:rPr>
                <w:i/>
                <w:sz w:val="20"/>
              </w:rPr>
              <w:t xml:space="preserve"> and projects that you are engaged with international organisations or cross-border</w:t>
            </w:r>
            <w:r w:rsidR="00EA5191">
              <w:rPr>
                <w:i/>
                <w:sz w:val="20"/>
              </w:rPr>
              <w:t>.</w:t>
            </w:r>
            <w:r w:rsidR="00996210">
              <w:rPr>
                <w:i/>
                <w:sz w:val="20"/>
              </w:rPr>
              <w:t>)</w:t>
            </w:r>
          </w:p>
          <w:p w:rsidR="00DD1F87" w:rsidRPr="002957EB" w:rsidRDefault="00DD1F87" w:rsidP="00333437">
            <w:pPr>
              <w:spacing w:before="120" w:after="120" w:line="252" w:lineRule="auto"/>
              <w:rPr>
                <w:b/>
                <w:i/>
                <w:sz w:val="20"/>
              </w:rPr>
            </w:pPr>
            <w:r w:rsidRPr="002957EB">
              <w:rPr>
                <w:b/>
                <w:i/>
                <w:sz w:val="20"/>
              </w:rPr>
              <w:t xml:space="preserve">Suggested length 1-3 pages </w:t>
            </w:r>
          </w:p>
        </w:tc>
      </w:tr>
    </w:tbl>
    <w:p w:rsidR="008E67C1" w:rsidRDefault="008E67C1"/>
    <w:p w:rsidR="000466F3" w:rsidRDefault="000466F3" w:rsidP="000466F3"/>
    <w:p w:rsidR="000466F3" w:rsidRDefault="000466F3" w:rsidP="000466F3">
      <w:pPr>
        <w:pStyle w:val="Heading2"/>
      </w:pPr>
      <w:r>
        <w:t xml:space="preserve">Organisation Structures </w:t>
      </w:r>
    </w:p>
    <w:p w:rsidR="000466F3" w:rsidRDefault="000466F3" w:rsidP="000466F3"/>
    <w:tbl>
      <w:tblPr>
        <w:tblStyle w:val="TableGrid1"/>
        <w:tblW w:w="0" w:type="auto"/>
        <w:tblLook w:val="04A0" w:firstRow="1" w:lastRow="0" w:firstColumn="1" w:lastColumn="0" w:noHBand="0" w:noVBand="1"/>
      </w:tblPr>
      <w:tblGrid>
        <w:gridCol w:w="3080"/>
        <w:gridCol w:w="3081"/>
        <w:gridCol w:w="3081"/>
      </w:tblGrid>
      <w:tr w:rsidR="006D69BD" w:rsidRPr="006D69BD" w:rsidTr="00484DEB">
        <w:tc>
          <w:tcPr>
            <w:tcW w:w="3080" w:type="dxa"/>
            <w:shd w:val="clear" w:color="auto" w:fill="FFFFFF" w:themeFill="background1"/>
          </w:tcPr>
          <w:p w:rsidR="006D69BD" w:rsidRPr="006D69BD" w:rsidRDefault="006D69BD" w:rsidP="006D69BD">
            <w:pPr>
              <w:autoSpaceDE w:val="0"/>
              <w:autoSpaceDN w:val="0"/>
              <w:adjustRightInd w:val="0"/>
              <w:rPr>
                <w:rFonts w:ascii="Calibri,Bold" w:hAnsi="Calibri,Bold" w:cs="Calibri,Bold"/>
                <w:bCs/>
                <w:sz w:val="20"/>
                <w:szCs w:val="20"/>
              </w:rPr>
            </w:pPr>
          </w:p>
        </w:tc>
        <w:tc>
          <w:tcPr>
            <w:tcW w:w="3081" w:type="dxa"/>
            <w:shd w:val="clear" w:color="auto" w:fill="4BACC6" w:themeFill="accent5"/>
          </w:tcPr>
          <w:p w:rsidR="006D69BD" w:rsidRPr="006D69BD" w:rsidRDefault="006D69BD" w:rsidP="006D69BD">
            <w:pPr>
              <w:autoSpaceDE w:val="0"/>
              <w:autoSpaceDN w:val="0"/>
              <w:adjustRightInd w:val="0"/>
              <w:rPr>
                <w:rFonts w:ascii="Calibri,Bold" w:hAnsi="Calibri,Bold" w:cs="Calibri,Bold"/>
                <w:b/>
                <w:bCs/>
                <w:color w:val="FFFFFF" w:themeColor="background1"/>
                <w:sz w:val="20"/>
                <w:szCs w:val="20"/>
              </w:rPr>
            </w:pPr>
            <w:r w:rsidRPr="006D69BD">
              <w:rPr>
                <w:rFonts w:ascii="Calibri,Bold" w:hAnsi="Calibri,Bold" w:cs="Calibri,Bold"/>
                <w:b/>
                <w:bCs/>
                <w:color w:val="FFFFFF" w:themeColor="background1"/>
                <w:sz w:val="20"/>
                <w:szCs w:val="20"/>
              </w:rPr>
              <w:t>Legal Metrology</w:t>
            </w:r>
          </w:p>
          <w:p w:rsidR="006D69BD" w:rsidRPr="006D69BD" w:rsidRDefault="006D69BD" w:rsidP="006D69BD">
            <w:pPr>
              <w:autoSpaceDE w:val="0"/>
              <w:autoSpaceDN w:val="0"/>
              <w:adjustRightInd w:val="0"/>
              <w:rPr>
                <w:rFonts w:ascii="Calibri,Bold" w:hAnsi="Calibri,Bold" w:cs="Calibri,Bold"/>
                <w:bCs/>
                <w:color w:val="FFFFFF" w:themeColor="background1"/>
                <w:sz w:val="20"/>
                <w:szCs w:val="20"/>
              </w:rPr>
            </w:pPr>
          </w:p>
        </w:tc>
        <w:tc>
          <w:tcPr>
            <w:tcW w:w="3081" w:type="dxa"/>
            <w:shd w:val="clear" w:color="auto" w:fill="4BACC6" w:themeFill="accent5"/>
          </w:tcPr>
          <w:p w:rsidR="006D69BD" w:rsidRPr="006D69BD" w:rsidRDefault="006D69BD" w:rsidP="006D69BD">
            <w:pPr>
              <w:autoSpaceDE w:val="0"/>
              <w:autoSpaceDN w:val="0"/>
              <w:adjustRightInd w:val="0"/>
              <w:rPr>
                <w:rFonts w:ascii="Calibri,Bold" w:hAnsi="Calibri,Bold" w:cs="Calibri,Bold"/>
                <w:bCs/>
                <w:color w:val="FFFFFF" w:themeColor="background1"/>
                <w:sz w:val="20"/>
                <w:szCs w:val="20"/>
              </w:rPr>
            </w:pPr>
            <w:r w:rsidRPr="006D69BD">
              <w:rPr>
                <w:rFonts w:ascii="Calibri,Bold" w:hAnsi="Calibri,Bold" w:cs="Calibri,Bold"/>
                <w:b/>
                <w:bCs/>
                <w:color w:val="FFFFFF" w:themeColor="background1"/>
                <w:sz w:val="20"/>
                <w:szCs w:val="20"/>
              </w:rPr>
              <w:t>Scientific Metrology</w:t>
            </w:r>
          </w:p>
        </w:tc>
      </w:tr>
      <w:tr w:rsidR="006D69BD" w:rsidRPr="006D69BD" w:rsidTr="00484DEB">
        <w:tc>
          <w:tcPr>
            <w:tcW w:w="3080" w:type="dxa"/>
            <w:shd w:val="clear" w:color="auto" w:fill="FFFFFF" w:themeFill="background1"/>
          </w:tcPr>
          <w:p w:rsidR="006D69BD" w:rsidRPr="006D69BD" w:rsidRDefault="006D69BD" w:rsidP="006D69BD">
            <w:pPr>
              <w:autoSpaceDE w:val="0"/>
              <w:autoSpaceDN w:val="0"/>
              <w:adjustRightInd w:val="0"/>
              <w:rPr>
                <w:rFonts w:ascii="Calibri,Bold" w:hAnsi="Calibri,Bold" w:cs="Calibri,Bold"/>
                <w:b/>
                <w:bCs/>
                <w:color w:val="000000" w:themeColor="text1"/>
                <w:sz w:val="20"/>
                <w:szCs w:val="20"/>
              </w:rPr>
            </w:pPr>
            <w:r w:rsidRPr="006D69BD">
              <w:rPr>
                <w:rFonts w:ascii="Calibri,Bold" w:hAnsi="Calibri,Bold" w:cs="Calibri,Bold"/>
                <w:b/>
                <w:bCs/>
                <w:color w:val="000000" w:themeColor="text1"/>
                <w:sz w:val="20"/>
                <w:szCs w:val="20"/>
              </w:rPr>
              <w:t>Organisation</w:t>
            </w:r>
          </w:p>
        </w:tc>
        <w:tc>
          <w:tcPr>
            <w:tcW w:w="3081" w:type="dxa"/>
          </w:tcPr>
          <w:p w:rsidR="006D69BD" w:rsidRPr="006D69BD" w:rsidRDefault="00534D34" w:rsidP="006D69BD">
            <w:pPr>
              <w:autoSpaceDE w:val="0"/>
              <w:autoSpaceDN w:val="0"/>
              <w:adjustRightInd w:val="0"/>
              <w:rPr>
                <w:rFonts w:cs="Calibri"/>
                <w:color w:val="000000"/>
                <w:sz w:val="20"/>
                <w:szCs w:val="20"/>
              </w:rPr>
            </w:pPr>
            <w:hyperlink r:id="rId9" w:history="1">
              <w:r w:rsidR="006D69BD" w:rsidRPr="006D69BD">
                <w:rPr>
                  <w:rFonts w:cs="Calibri"/>
                  <w:color w:val="0000FF" w:themeColor="hyperlink"/>
                  <w:sz w:val="20"/>
                  <w:szCs w:val="20"/>
                  <w:u w:val="single"/>
                </w:rPr>
                <w:t>Ministry of Business, Innovation and Employment</w:t>
              </w:r>
            </w:hyperlink>
          </w:p>
        </w:tc>
        <w:tc>
          <w:tcPr>
            <w:tcW w:w="3081" w:type="dxa"/>
          </w:tcPr>
          <w:p w:rsidR="006D69BD" w:rsidRPr="006D69BD" w:rsidRDefault="00534D34" w:rsidP="006D69BD">
            <w:pPr>
              <w:autoSpaceDE w:val="0"/>
              <w:autoSpaceDN w:val="0"/>
              <w:adjustRightInd w:val="0"/>
              <w:rPr>
                <w:rFonts w:cs="Calibri"/>
                <w:color w:val="000000"/>
                <w:sz w:val="20"/>
                <w:szCs w:val="20"/>
              </w:rPr>
            </w:pPr>
            <w:hyperlink r:id="rId10" w:history="1">
              <w:r w:rsidR="006D69BD" w:rsidRPr="006D69BD">
                <w:rPr>
                  <w:rFonts w:cs="Calibri"/>
                  <w:color w:val="0000FF" w:themeColor="hyperlink"/>
                  <w:sz w:val="20"/>
                  <w:szCs w:val="20"/>
                  <w:u w:val="single"/>
                </w:rPr>
                <w:t>Callaghan Innovation</w:t>
              </w:r>
            </w:hyperlink>
          </w:p>
        </w:tc>
      </w:tr>
      <w:tr w:rsidR="006D69BD" w:rsidRPr="006D69BD" w:rsidTr="00484DEB">
        <w:tc>
          <w:tcPr>
            <w:tcW w:w="3080" w:type="dxa"/>
            <w:shd w:val="clear" w:color="auto" w:fill="FFFFFF" w:themeFill="background1"/>
          </w:tcPr>
          <w:p w:rsidR="006D69BD" w:rsidRPr="006D69BD" w:rsidRDefault="006D69BD" w:rsidP="006D69BD">
            <w:pPr>
              <w:autoSpaceDE w:val="0"/>
              <w:autoSpaceDN w:val="0"/>
              <w:adjustRightInd w:val="0"/>
              <w:rPr>
                <w:rFonts w:ascii="Calibri,Bold" w:hAnsi="Calibri,Bold" w:cs="Calibri,Bold"/>
                <w:b/>
                <w:bCs/>
                <w:color w:val="000000" w:themeColor="text1"/>
                <w:sz w:val="20"/>
                <w:szCs w:val="20"/>
              </w:rPr>
            </w:pPr>
            <w:r w:rsidRPr="006D69BD">
              <w:rPr>
                <w:rFonts w:ascii="Calibri,Bold" w:hAnsi="Calibri,Bold" w:cs="Calibri,Bold"/>
                <w:b/>
                <w:bCs/>
                <w:color w:val="000000" w:themeColor="text1"/>
                <w:sz w:val="20"/>
                <w:szCs w:val="20"/>
              </w:rPr>
              <w:t>Business Unit</w:t>
            </w:r>
          </w:p>
        </w:tc>
        <w:tc>
          <w:tcPr>
            <w:tcW w:w="3081" w:type="dxa"/>
          </w:tcPr>
          <w:p w:rsidR="006D69BD" w:rsidRPr="006D69BD" w:rsidRDefault="00534D34" w:rsidP="006D69BD">
            <w:pPr>
              <w:autoSpaceDE w:val="0"/>
              <w:autoSpaceDN w:val="0"/>
              <w:adjustRightInd w:val="0"/>
              <w:rPr>
                <w:rFonts w:cs="Calibri"/>
                <w:color w:val="000000"/>
                <w:sz w:val="20"/>
                <w:szCs w:val="20"/>
              </w:rPr>
            </w:pPr>
            <w:hyperlink r:id="rId11" w:history="1">
              <w:r w:rsidR="006D69BD" w:rsidRPr="006D69BD">
                <w:rPr>
                  <w:rFonts w:cs="Calibri"/>
                  <w:color w:val="0000FF" w:themeColor="hyperlink"/>
                  <w:sz w:val="20"/>
                  <w:szCs w:val="20"/>
                  <w:u w:val="single"/>
                </w:rPr>
                <w:t>Trading Standards</w:t>
              </w:r>
            </w:hyperlink>
          </w:p>
        </w:tc>
        <w:tc>
          <w:tcPr>
            <w:tcW w:w="3081" w:type="dxa"/>
          </w:tcPr>
          <w:p w:rsidR="006D69BD" w:rsidRPr="006D69BD" w:rsidRDefault="00534D34" w:rsidP="006D69BD">
            <w:pPr>
              <w:autoSpaceDE w:val="0"/>
              <w:autoSpaceDN w:val="0"/>
              <w:adjustRightInd w:val="0"/>
              <w:rPr>
                <w:rFonts w:cs="Calibri"/>
                <w:color w:val="000000"/>
                <w:sz w:val="20"/>
                <w:szCs w:val="20"/>
              </w:rPr>
            </w:pPr>
            <w:hyperlink r:id="rId12" w:history="1">
              <w:r w:rsidR="006D69BD" w:rsidRPr="006D69BD">
                <w:rPr>
                  <w:rFonts w:cs="Calibri"/>
                  <w:color w:val="0000FF" w:themeColor="hyperlink"/>
                  <w:sz w:val="20"/>
                  <w:szCs w:val="20"/>
                  <w:u w:val="single"/>
                </w:rPr>
                <w:t>Measurement Standards Laboratory</w:t>
              </w:r>
            </w:hyperlink>
          </w:p>
        </w:tc>
      </w:tr>
      <w:tr w:rsidR="006D69BD" w:rsidRPr="006D69BD" w:rsidTr="00484DEB">
        <w:tc>
          <w:tcPr>
            <w:tcW w:w="3080" w:type="dxa"/>
            <w:shd w:val="clear" w:color="auto" w:fill="FFFFFF" w:themeFill="background1"/>
          </w:tcPr>
          <w:p w:rsidR="006D69BD" w:rsidRPr="006D69BD" w:rsidRDefault="006D69BD" w:rsidP="006D69BD">
            <w:pPr>
              <w:autoSpaceDE w:val="0"/>
              <w:autoSpaceDN w:val="0"/>
              <w:adjustRightInd w:val="0"/>
              <w:rPr>
                <w:rFonts w:ascii="Calibri,Bold" w:hAnsi="Calibri,Bold" w:cs="Calibri,Bold"/>
                <w:b/>
                <w:bCs/>
                <w:color w:val="000000" w:themeColor="text1"/>
                <w:sz w:val="20"/>
                <w:szCs w:val="20"/>
              </w:rPr>
            </w:pPr>
            <w:r w:rsidRPr="006D69BD">
              <w:rPr>
                <w:rFonts w:ascii="Calibri,Bold" w:hAnsi="Calibri,Bold" w:cs="Calibri,Bold"/>
                <w:b/>
                <w:bCs/>
                <w:color w:val="000000" w:themeColor="text1"/>
                <w:sz w:val="20"/>
                <w:szCs w:val="20"/>
              </w:rPr>
              <w:t>Manager</w:t>
            </w:r>
          </w:p>
          <w:p w:rsidR="006D69BD" w:rsidRPr="006D69BD" w:rsidRDefault="006D69BD" w:rsidP="006D69BD">
            <w:pPr>
              <w:autoSpaceDE w:val="0"/>
              <w:autoSpaceDN w:val="0"/>
              <w:adjustRightInd w:val="0"/>
              <w:rPr>
                <w:rFonts w:ascii="Calibri,Bold" w:hAnsi="Calibri,Bold" w:cs="Calibri,Bold"/>
                <w:b/>
                <w:bCs/>
                <w:color w:val="000000" w:themeColor="text1"/>
                <w:sz w:val="20"/>
                <w:szCs w:val="20"/>
              </w:rPr>
            </w:pPr>
          </w:p>
        </w:tc>
        <w:tc>
          <w:tcPr>
            <w:tcW w:w="3081" w:type="dxa"/>
          </w:tcPr>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Stephen O’Brien</w:t>
            </w:r>
          </w:p>
        </w:tc>
        <w:tc>
          <w:tcPr>
            <w:tcW w:w="3081" w:type="dxa"/>
          </w:tcPr>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Fleur Francois</w:t>
            </w:r>
          </w:p>
        </w:tc>
      </w:tr>
      <w:tr w:rsidR="006D69BD" w:rsidRPr="006D69BD" w:rsidTr="00484DEB">
        <w:tc>
          <w:tcPr>
            <w:tcW w:w="3080" w:type="dxa"/>
            <w:shd w:val="clear" w:color="auto" w:fill="FFFFFF" w:themeFill="background1"/>
          </w:tcPr>
          <w:p w:rsidR="006D69BD" w:rsidRPr="006D69BD" w:rsidRDefault="006D69BD" w:rsidP="006D69BD">
            <w:pPr>
              <w:autoSpaceDE w:val="0"/>
              <w:autoSpaceDN w:val="0"/>
              <w:adjustRightInd w:val="0"/>
              <w:rPr>
                <w:rFonts w:ascii="Calibri,Bold" w:hAnsi="Calibri,Bold" w:cs="Calibri,Bold"/>
                <w:b/>
                <w:bCs/>
                <w:color w:val="000000" w:themeColor="text1"/>
                <w:sz w:val="20"/>
                <w:szCs w:val="20"/>
              </w:rPr>
            </w:pPr>
            <w:r w:rsidRPr="006D69BD">
              <w:rPr>
                <w:rFonts w:ascii="Calibri,Bold" w:hAnsi="Calibri,Bold" w:cs="Calibri,Bold"/>
                <w:b/>
                <w:bCs/>
                <w:color w:val="000000" w:themeColor="text1"/>
                <w:sz w:val="20"/>
                <w:szCs w:val="20"/>
              </w:rPr>
              <w:t>Location(s)</w:t>
            </w:r>
          </w:p>
        </w:tc>
        <w:tc>
          <w:tcPr>
            <w:tcW w:w="3081" w:type="dxa"/>
          </w:tcPr>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Head Office – Wellington</w:t>
            </w:r>
          </w:p>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Primary Laboratory – Auckland</w:t>
            </w:r>
          </w:p>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Secondary Laboratories – Wellington &amp; Christchurch</w:t>
            </w:r>
          </w:p>
        </w:tc>
        <w:tc>
          <w:tcPr>
            <w:tcW w:w="3081" w:type="dxa"/>
          </w:tcPr>
          <w:p w:rsidR="006D69BD" w:rsidRPr="006D69BD" w:rsidRDefault="006D69BD" w:rsidP="006D69BD">
            <w:pPr>
              <w:autoSpaceDE w:val="0"/>
              <w:autoSpaceDN w:val="0"/>
              <w:adjustRightInd w:val="0"/>
              <w:rPr>
                <w:rFonts w:cs="Calibri"/>
                <w:color w:val="000000"/>
                <w:sz w:val="20"/>
                <w:szCs w:val="20"/>
              </w:rPr>
            </w:pPr>
            <w:r w:rsidRPr="006D69BD">
              <w:rPr>
                <w:rFonts w:cs="Calibri"/>
                <w:color w:val="000000"/>
                <w:sz w:val="20"/>
                <w:szCs w:val="20"/>
              </w:rPr>
              <w:t>Wellington</w:t>
            </w:r>
          </w:p>
        </w:tc>
      </w:tr>
    </w:tbl>
    <w:p w:rsidR="000466F3" w:rsidRDefault="000466F3" w:rsidP="000466F3"/>
    <w:p w:rsidR="000466F3" w:rsidRDefault="000466F3" w:rsidP="000466F3"/>
    <w:p w:rsidR="006D69BD" w:rsidRDefault="006D69BD" w:rsidP="006D69BD">
      <w:r>
        <w:t>Other relevant organisations:</w:t>
      </w:r>
    </w:p>
    <w:p w:rsidR="006D69BD" w:rsidRDefault="006D69BD" w:rsidP="006D69BD">
      <w:r>
        <w:t>•Ministry for Primary Industries – Food Hygiene, increase sustainable resource use, and</w:t>
      </w:r>
      <w:r w:rsidR="00484DEB">
        <w:t xml:space="preserve"> to </w:t>
      </w:r>
      <w:r>
        <w:t>protect New Zealand from biological risk</w:t>
      </w:r>
    </w:p>
    <w:p w:rsidR="006D69BD" w:rsidRDefault="006D69BD" w:rsidP="006D69BD">
      <w:r>
        <w:t>•Ministry of Transport – Taxi meters</w:t>
      </w:r>
    </w:p>
    <w:p w:rsidR="006D69BD" w:rsidRDefault="006D69BD" w:rsidP="006D69BD">
      <w:r>
        <w:t>•Ministry of Health – Electronic Cigarettes</w:t>
      </w:r>
    </w:p>
    <w:p w:rsidR="006D69BD" w:rsidRDefault="006D69BD" w:rsidP="006D69BD">
      <w:r>
        <w:t xml:space="preserve">•Commerce Commission – </w:t>
      </w:r>
      <w:r w:rsidR="00484DEB">
        <w:t>Fair trading and consumer protection</w:t>
      </w:r>
    </w:p>
    <w:p w:rsidR="006D69BD" w:rsidRDefault="006D69BD" w:rsidP="006D69BD">
      <w:r>
        <w:t>•Maritime NZ – Maritime safety (SOLAS)</w:t>
      </w:r>
    </w:p>
    <w:p w:rsidR="006D69BD" w:rsidRDefault="006D69BD" w:rsidP="006D69BD">
      <w:r>
        <w:t>•</w:t>
      </w:r>
      <w:proofErr w:type="spellStart"/>
      <w:r>
        <w:t>Medsafe</w:t>
      </w:r>
      <w:proofErr w:type="spellEnd"/>
      <w:r>
        <w:t xml:space="preserve"> – Medical Devices</w:t>
      </w:r>
    </w:p>
    <w:p w:rsidR="006D69BD" w:rsidRDefault="006D69BD" w:rsidP="006D69BD">
      <w:r>
        <w:t>•Electricity Authority - Electric vehicle charging stations</w:t>
      </w:r>
    </w:p>
    <w:p w:rsidR="000466F3" w:rsidRDefault="006D69BD" w:rsidP="006D69BD">
      <w:r>
        <w:t>•NZ Customs Service - Border control and the collection of duties and taxes on imports to the country</w:t>
      </w:r>
    </w:p>
    <w:p w:rsidR="000466F3" w:rsidRDefault="000466F3" w:rsidP="000466F3"/>
    <w:p w:rsidR="000466F3" w:rsidRDefault="000466F3" w:rsidP="000466F3"/>
    <w:p w:rsidR="000466F3" w:rsidRDefault="000466F3" w:rsidP="000466F3"/>
    <w:p w:rsidR="000466F3" w:rsidRDefault="000466F3" w:rsidP="000466F3"/>
    <w:p w:rsidR="000466F3" w:rsidRDefault="000466F3" w:rsidP="000466F3"/>
    <w:p w:rsidR="000466F3" w:rsidRDefault="000466F3" w:rsidP="000466F3"/>
    <w:p w:rsidR="000466F3" w:rsidRDefault="000466F3" w:rsidP="000466F3"/>
    <w:p w:rsidR="000466F3" w:rsidRDefault="000466F3" w:rsidP="000466F3">
      <w:pPr>
        <w:pStyle w:val="Heading2"/>
      </w:pPr>
      <w:r>
        <w:t xml:space="preserve">Legislative Frameworks </w:t>
      </w:r>
    </w:p>
    <w:p w:rsidR="000466F3" w:rsidRDefault="000466F3" w:rsidP="000466F3"/>
    <w:p w:rsidR="00484DEB" w:rsidRDefault="00484DEB" w:rsidP="00484DEB">
      <w:r>
        <w:t>Primary Legislation - Weights and Measures Act 1987</w:t>
      </w:r>
    </w:p>
    <w:p w:rsidR="000466F3" w:rsidRDefault="00484DEB" w:rsidP="00484DEB">
      <w:r>
        <w:t>Secondary Legislation - Weights and Measures Regulations 1999</w:t>
      </w:r>
    </w:p>
    <w:p w:rsidR="000466F3" w:rsidRDefault="000466F3" w:rsidP="000466F3"/>
    <w:p w:rsidR="00484DEB" w:rsidRPr="00484DEB" w:rsidRDefault="00484DEB" w:rsidP="00484DEB">
      <w:pPr>
        <w:rPr>
          <w:b/>
        </w:rPr>
      </w:pPr>
      <w:r w:rsidRPr="00484DEB">
        <w:rPr>
          <w:b/>
        </w:rPr>
        <w:t>Legis</w:t>
      </w:r>
      <w:r>
        <w:rPr>
          <w:b/>
        </w:rPr>
        <w:t xml:space="preserve">lative changes – </w:t>
      </w:r>
      <w:r w:rsidRPr="00484DEB">
        <w:rPr>
          <w:b/>
        </w:rPr>
        <w:t>updates to the Weights and Measures Act</w:t>
      </w:r>
    </w:p>
    <w:p w:rsidR="00484DEB" w:rsidRDefault="00484DEB" w:rsidP="00484DEB"/>
    <w:p w:rsidR="00484DEB" w:rsidRDefault="00484DEB" w:rsidP="00484DEB">
      <w:r>
        <w:t xml:space="preserve">Minor updates to the Weights and Measures Act have been proposed to improve operation and capture. </w:t>
      </w:r>
      <w:r w:rsidR="00C16A71">
        <w:t xml:space="preserve"> </w:t>
      </w:r>
      <w:r>
        <w:t xml:space="preserve">It is not expected to have major impact on the operation of legal metrology but will ensure that terminology and language is contemporary. </w:t>
      </w:r>
      <w:r w:rsidR="00C16A71">
        <w:t xml:space="preserve"> </w:t>
      </w:r>
      <w:r>
        <w:t xml:space="preserve">For example the updates will include the relatively new trading practise in New Zealand where traders either hire or lease a weighing or measuring instrument for trade use instead of purchasing. </w:t>
      </w:r>
      <w:r w:rsidR="005A6776">
        <w:t xml:space="preserve"> </w:t>
      </w:r>
      <w:r>
        <w:t>The update will include situations where the instrument hired or leased is found to be non-compliant.</w:t>
      </w:r>
    </w:p>
    <w:p w:rsidR="00484DEB" w:rsidRDefault="00484DEB" w:rsidP="00484DEB"/>
    <w:p w:rsidR="000466F3" w:rsidRDefault="00484DEB" w:rsidP="00484DEB">
      <w:r>
        <w:t xml:space="preserve">Also, as part of continuous improvement and ensuring the legislation is fit for purpose, a number of amendments are in the process of being proposed. </w:t>
      </w:r>
      <w:r w:rsidR="005A6776">
        <w:t xml:space="preserve"> </w:t>
      </w:r>
      <w:r>
        <w:t xml:space="preserve">Two areas of legal metrology have been highlighted: </w:t>
      </w:r>
      <w:r>
        <w:br/>
      </w:r>
      <w:r>
        <w:br/>
        <w:t xml:space="preserve">1. Sales of </w:t>
      </w:r>
      <w:r w:rsidR="005A6776">
        <w:t>non-approved</w:t>
      </w:r>
      <w:r>
        <w:t xml:space="preserve"> weighing instruments, and </w:t>
      </w:r>
      <w:r>
        <w:br/>
        <w:t xml:space="preserve">2. Updates to the </w:t>
      </w:r>
      <w:r w:rsidR="00E73D4E">
        <w:t>Accreditation S</w:t>
      </w:r>
      <w:r w:rsidR="00E73D4E">
        <w:t>cheme</w:t>
      </w:r>
      <w:r w:rsidR="00E73D4E">
        <w:t xml:space="preserve"> (3</w:t>
      </w:r>
      <w:r w:rsidR="00E73D4E" w:rsidRPr="00E73D4E">
        <w:rPr>
          <w:vertAlign w:val="superscript"/>
        </w:rPr>
        <w:t>rd</w:t>
      </w:r>
      <w:r w:rsidR="00E73D4E">
        <w:t xml:space="preserve"> party verifiers)</w:t>
      </w:r>
      <w:r w:rsidR="005A6776">
        <w:t>, administered by MBIE Trading Standards</w:t>
      </w:r>
      <w:r>
        <w:t xml:space="preserve">. </w:t>
      </w:r>
      <w:r>
        <w:br/>
      </w:r>
      <w:r>
        <w:br/>
        <w:t xml:space="preserve">Both of the aforementioned areas of legal metrology would benefit from an amendment as the marketplace has changed significantly since the signing of the Act in 1987 and the launch of the </w:t>
      </w:r>
      <w:r w:rsidR="00E73D4E">
        <w:t>A</w:t>
      </w:r>
      <w:r>
        <w:t xml:space="preserve">ccreditation </w:t>
      </w:r>
      <w:r w:rsidR="00E73D4E">
        <w:t>S</w:t>
      </w:r>
      <w:r>
        <w:t>cheme in 1991.</w:t>
      </w:r>
    </w:p>
    <w:p w:rsidR="000466F3" w:rsidRDefault="000466F3" w:rsidP="000466F3"/>
    <w:p w:rsidR="000466F3" w:rsidRDefault="000466F3" w:rsidP="000466F3">
      <w:pPr>
        <w:pStyle w:val="Heading2"/>
      </w:pPr>
      <w:r>
        <w:t xml:space="preserve">International arrangements and </w:t>
      </w:r>
      <w:r w:rsidR="00DD1F87">
        <w:t xml:space="preserve">engagement </w:t>
      </w:r>
      <w:r>
        <w:t xml:space="preserve"> </w:t>
      </w:r>
    </w:p>
    <w:p w:rsidR="000466F3" w:rsidRDefault="000466F3" w:rsidP="000466F3"/>
    <w:p w:rsidR="00484DEB" w:rsidRPr="00484DEB" w:rsidRDefault="00484DEB" w:rsidP="00484DEB">
      <w:pPr>
        <w:rPr>
          <w:b/>
        </w:rPr>
      </w:pPr>
      <w:r w:rsidRPr="00484DEB">
        <w:rPr>
          <w:b/>
        </w:rPr>
        <w:t xml:space="preserve">Trans-Tasman Connections </w:t>
      </w:r>
    </w:p>
    <w:p w:rsidR="00484DEB" w:rsidRDefault="00484DEB" w:rsidP="00484DEB"/>
    <w:p w:rsidR="00484DEB" w:rsidRDefault="00484DEB" w:rsidP="00484DEB">
      <w:r>
        <w:t>In March 2017, Trading Standards attend</w:t>
      </w:r>
      <w:r w:rsidR="00E73D4E">
        <w:t>ed</w:t>
      </w:r>
      <w:r>
        <w:t xml:space="preserve"> the National Measurement Institute (NMI) Trade Measurement Services Management Strategic Planning Meeting and met with the Legal Metrology leadership team at the National Measurement Institute, Australia.</w:t>
      </w:r>
    </w:p>
    <w:p w:rsidR="00484DEB" w:rsidRDefault="00484DEB" w:rsidP="00484DEB"/>
    <w:p w:rsidR="00484DEB" w:rsidRDefault="00484DEB" w:rsidP="00484DEB">
      <w:r>
        <w:t>The meetings aimed to solidify relations between the legal metrology enforcements bodies and help coordinate activities and agree the formulation of sharing resources and completing joint projects on mutual enforcement issues, both current and emerging.</w:t>
      </w:r>
    </w:p>
    <w:p w:rsidR="00484DEB" w:rsidRDefault="00484DEB" w:rsidP="00484DEB"/>
    <w:p w:rsidR="00484DEB" w:rsidRDefault="00484DEB" w:rsidP="00484DEB"/>
    <w:p w:rsidR="00484DEB" w:rsidRPr="00484DEB" w:rsidRDefault="00484DEB" w:rsidP="00484DEB">
      <w:pPr>
        <w:rPr>
          <w:b/>
        </w:rPr>
      </w:pPr>
      <w:r w:rsidRPr="00484DEB">
        <w:rPr>
          <w:b/>
        </w:rPr>
        <w:t xml:space="preserve">Technical Advisor represents NZ at OIML </w:t>
      </w:r>
    </w:p>
    <w:p w:rsidR="00484DEB" w:rsidRDefault="00484DEB" w:rsidP="00484DEB"/>
    <w:p w:rsidR="00484DEB" w:rsidRDefault="00484DEB" w:rsidP="00484DEB">
      <w:r>
        <w:t>Two meetings and a seminar were held between 13</w:t>
      </w:r>
      <w:r w:rsidRPr="0044382B">
        <w:rPr>
          <w:vertAlign w:val="superscript"/>
        </w:rPr>
        <w:t>th</w:t>
      </w:r>
      <w:r w:rsidR="0044382B">
        <w:t xml:space="preserve"> </w:t>
      </w:r>
      <w:r w:rsidR="00EE1530">
        <w:t>and</w:t>
      </w:r>
      <w:r>
        <w:t xml:space="preserve"> 16</w:t>
      </w:r>
      <w:r w:rsidRPr="0044382B">
        <w:rPr>
          <w:vertAlign w:val="superscript"/>
        </w:rPr>
        <w:t>th</w:t>
      </w:r>
      <w:r w:rsidR="0044382B">
        <w:t xml:space="preserve"> </w:t>
      </w:r>
      <w:r>
        <w:t xml:space="preserve">June 2017 in Shanghai, China, by OIML to discuss </w:t>
      </w:r>
      <w:r w:rsidR="0044382B">
        <w:t xml:space="preserve">and review </w:t>
      </w:r>
      <w:r w:rsidR="00EE1530">
        <w:t xml:space="preserve">the new </w:t>
      </w:r>
      <w:r w:rsidR="00EE1530" w:rsidRPr="00EE1530">
        <w:t xml:space="preserve">single OIML Certification System (OIML-CS) </w:t>
      </w:r>
      <w:r>
        <w:t xml:space="preserve">and the </w:t>
      </w:r>
      <w:r w:rsidR="00EE1530">
        <w:t xml:space="preserve">current </w:t>
      </w:r>
      <w:r>
        <w:t>Mutual Acceptance Arrangement</w:t>
      </w:r>
      <w:r w:rsidR="0044382B">
        <w:t>s</w:t>
      </w:r>
      <w:r>
        <w:t xml:space="preserve"> (MAA).</w:t>
      </w:r>
    </w:p>
    <w:p w:rsidR="00484DEB" w:rsidRDefault="00484DEB" w:rsidP="00484DEB"/>
    <w:p w:rsidR="00484DEB" w:rsidRDefault="00484DEB" w:rsidP="00484DEB"/>
    <w:p w:rsidR="00484DEB" w:rsidRPr="00484DEB" w:rsidRDefault="00484DEB" w:rsidP="00484DEB">
      <w:pPr>
        <w:rPr>
          <w:b/>
        </w:rPr>
      </w:pPr>
      <w:r w:rsidRPr="00484DEB">
        <w:rPr>
          <w:b/>
        </w:rPr>
        <w:t xml:space="preserve">APLMF Training </w:t>
      </w:r>
    </w:p>
    <w:p w:rsidR="00484DEB" w:rsidRDefault="00484DEB" w:rsidP="00484DEB"/>
    <w:p w:rsidR="00484DEB" w:rsidRDefault="00EE1530" w:rsidP="00484DEB">
      <w:r>
        <w:t>New Zealand representatives from Trading Standards administered two t</w:t>
      </w:r>
      <w:r w:rsidR="00484DEB">
        <w:t>raining courses on behalf of the APLMF Secretariat</w:t>
      </w:r>
      <w:r>
        <w:t xml:space="preserve"> a</w:t>
      </w:r>
      <w:r w:rsidR="0044382B">
        <w:t>s</w:t>
      </w:r>
      <w:r>
        <w:t xml:space="preserve"> part of the Metrology Enabling Developing Economies in Asia (MEDEA) work programme.</w:t>
      </w:r>
      <w:r w:rsidR="00484DEB">
        <w:t xml:space="preserve"> </w:t>
      </w:r>
      <w:r w:rsidR="005A6776">
        <w:t xml:space="preserve"> </w:t>
      </w:r>
      <w:r w:rsidR="00484DEB">
        <w:t xml:space="preserve">The first was held in </w:t>
      </w:r>
      <w:proofErr w:type="spellStart"/>
      <w:r w:rsidR="00484DEB">
        <w:t>Sepang</w:t>
      </w:r>
      <w:proofErr w:type="spellEnd"/>
      <w:r w:rsidR="00484DEB">
        <w:t>, Malaysia, from 18</w:t>
      </w:r>
      <w:r w:rsidR="00484DEB" w:rsidRPr="0044382B">
        <w:rPr>
          <w:vertAlign w:val="superscript"/>
        </w:rPr>
        <w:t>th</w:t>
      </w:r>
      <w:r w:rsidR="0044382B">
        <w:t xml:space="preserve"> </w:t>
      </w:r>
      <w:r w:rsidR="00484DEB">
        <w:t>to 21</w:t>
      </w:r>
      <w:r w:rsidR="00484DEB" w:rsidRPr="0044382B">
        <w:rPr>
          <w:vertAlign w:val="superscript"/>
        </w:rPr>
        <w:t>st</w:t>
      </w:r>
      <w:r w:rsidR="0044382B">
        <w:t xml:space="preserve"> </w:t>
      </w:r>
      <w:r w:rsidR="00484DEB">
        <w:t xml:space="preserve">July 2017 on the ‘Traceability of Rice Moisture Measurement’. </w:t>
      </w:r>
      <w:r w:rsidR="005A6776">
        <w:t xml:space="preserve"> </w:t>
      </w:r>
      <w:r w:rsidR="00484DEB">
        <w:t>The second was held between 26th &amp; 29th September 2017 in Beijing, Peoples Republic of China and was a joint training course in association with MEDEA on the ‘Verif</w:t>
      </w:r>
      <w:r w:rsidR="005A6776">
        <w:t>ication of Weighbridges’.</w:t>
      </w:r>
    </w:p>
    <w:p w:rsidR="00484DEB" w:rsidRDefault="00484DEB" w:rsidP="00484DEB"/>
    <w:p w:rsidR="00484DEB" w:rsidRDefault="00484DEB" w:rsidP="00484DEB"/>
    <w:p w:rsidR="00484DEB" w:rsidRPr="00484DEB" w:rsidRDefault="00484DEB" w:rsidP="00484DEB">
      <w:pPr>
        <w:rPr>
          <w:b/>
        </w:rPr>
      </w:pPr>
      <w:r w:rsidRPr="00484DEB">
        <w:rPr>
          <w:b/>
        </w:rPr>
        <w:t>OIML Annual Meeting</w:t>
      </w:r>
    </w:p>
    <w:p w:rsidR="00484DEB" w:rsidRDefault="00484DEB" w:rsidP="00484DEB"/>
    <w:p w:rsidR="00484DEB" w:rsidRDefault="00484DEB" w:rsidP="00484DEB">
      <w:r>
        <w:t>T</w:t>
      </w:r>
      <w:r w:rsidR="0044382B">
        <w:t xml:space="preserve">rading </w:t>
      </w:r>
      <w:r>
        <w:t>S</w:t>
      </w:r>
      <w:r w:rsidR="0044382B">
        <w:t xml:space="preserve">tandards </w:t>
      </w:r>
      <w:r>
        <w:t xml:space="preserve">will represent New Zealand's Legal Metrology interests and fulfil international commitments at a number of events in Cartagena de </w:t>
      </w:r>
      <w:proofErr w:type="spellStart"/>
      <w:r>
        <w:t>lndias</w:t>
      </w:r>
      <w:proofErr w:type="spellEnd"/>
      <w:r>
        <w:t>, Columbia</w:t>
      </w:r>
      <w:r w:rsidR="0044382B">
        <w:t>:</w:t>
      </w:r>
    </w:p>
    <w:p w:rsidR="00484DEB" w:rsidRDefault="00484DEB" w:rsidP="00484DEB">
      <w:r>
        <w:t xml:space="preserve">1. Seminar on new International Organisation of Legal Metrology </w:t>
      </w:r>
      <w:r w:rsidR="0044382B">
        <w:t>S</w:t>
      </w:r>
      <w:r w:rsidR="0044382B" w:rsidRPr="0044382B">
        <w:t xml:space="preserve">ingle Certification System (OIML-CS) </w:t>
      </w:r>
      <w:r>
        <w:t>on 9</w:t>
      </w:r>
      <w:r w:rsidRPr="008C6AC9">
        <w:rPr>
          <w:vertAlign w:val="superscript"/>
        </w:rPr>
        <w:t>th</w:t>
      </w:r>
      <w:r w:rsidR="008C6AC9">
        <w:t xml:space="preserve"> </w:t>
      </w:r>
      <w:r>
        <w:t>October 2017;</w:t>
      </w:r>
    </w:p>
    <w:p w:rsidR="00484DEB" w:rsidRDefault="00484DEB" w:rsidP="00484DEB">
      <w:r>
        <w:t>2. OIML Regional Legal Metrology Bodies Round Table {RLMO) meeting -to represent the Asia-Pacific Legal Metrology Forum on 9</w:t>
      </w:r>
      <w:r w:rsidRPr="008C6AC9">
        <w:rPr>
          <w:vertAlign w:val="superscript"/>
        </w:rPr>
        <w:t>th</w:t>
      </w:r>
      <w:r w:rsidR="008C6AC9">
        <w:t xml:space="preserve"> </w:t>
      </w:r>
      <w:r>
        <w:t>October 2017;</w:t>
      </w:r>
      <w:r w:rsidR="008C6AC9">
        <w:t xml:space="preserve"> and</w:t>
      </w:r>
    </w:p>
    <w:p w:rsidR="000466F3" w:rsidRPr="000466F3" w:rsidRDefault="00484DEB" w:rsidP="00484DEB">
      <w:r>
        <w:t>3. 52</w:t>
      </w:r>
      <w:r w:rsidRPr="008C6AC9">
        <w:rPr>
          <w:vertAlign w:val="superscript"/>
        </w:rPr>
        <w:t>nd</w:t>
      </w:r>
      <w:r w:rsidR="008C6AC9">
        <w:t xml:space="preserve"> </w:t>
      </w:r>
      <w:r>
        <w:t>OIML International Committee of Legal Metrology (CIML) meeting</w:t>
      </w:r>
      <w:r w:rsidR="005A6776">
        <w:t xml:space="preserve"> from </w:t>
      </w:r>
      <w:proofErr w:type="gramStart"/>
      <w:r w:rsidR="005A6776">
        <w:t>10</w:t>
      </w:r>
      <w:r w:rsidR="005A6776" w:rsidRPr="008C6AC9">
        <w:rPr>
          <w:vertAlign w:val="superscript"/>
        </w:rPr>
        <w:t>th</w:t>
      </w:r>
      <w:r w:rsidR="008C6AC9">
        <w:t xml:space="preserve"> </w:t>
      </w:r>
      <w:r w:rsidR="005A6776">
        <w:t xml:space="preserve"> to</w:t>
      </w:r>
      <w:proofErr w:type="gramEnd"/>
      <w:r w:rsidR="005A6776">
        <w:t xml:space="preserve"> 12</w:t>
      </w:r>
      <w:r w:rsidR="005A6776" w:rsidRPr="008C6AC9">
        <w:rPr>
          <w:vertAlign w:val="superscript"/>
        </w:rPr>
        <w:t>th</w:t>
      </w:r>
      <w:r w:rsidR="008C6AC9">
        <w:t xml:space="preserve"> </w:t>
      </w:r>
      <w:r w:rsidR="005A6776">
        <w:t xml:space="preserve"> October 2017.</w:t>
      </w:r>
    </w:p>
    <w:p w:rsidR="00F05746" w:rsidRDefault="00F05746" w:rsidP="00F05746"/>
    <w:p w:rsidR="00F05746" w:rsidRPr="00A528FE" w:rsidRDefault="00F05746" w:rsidP="008E67C1">
      <w:pPr>
        <w:pStyle w:val="Heading1"/>
      </w:pPr>
      <w:r w:rsidRPr="00A528FE">
        <w:t>S</w:t>
      </w:r>
      <w:r w:rsidR="008E67C1">
        <w:t xml:space="preserve">ECTION </w:t>
      </w:r>
      <w:r w:rsidRPr="00A528FE">
        <w:t>2</w:t>
      </w:r>
      <w:r w:rsidR="008E67C1">
        <w:t xml:space="preserve"> – Key activities of </w:t>
      </w:r>
      <w:r w:rsidR="008E67C1" w:rsidRPr="003F5AB3">
        <w:t>201</w:t>
      </w:r>
      <w:r w:rsidR="002435F5" w:rsidRPr="003F5AB3">
        <w:t>6/17</w:t>
      </w:r>
    </w:p>
    <w:p w:rsidR="00F05746" w:rsidRDefault="00F05746" w:rsidP="00F057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242"/>
      </w:tblGrid>
      <w:tr w:rsidR="00DD1F87" w:rsidRPr="0057327F" w:rsidTr="00484DEB">
        <w:tc>
          <w:tcPr>
            <w:tcW w:w="9242" w:type="dxa"/>
            <w:shd w:val="clear" w:color="auto" w:fill="FBD4B4" w:themeFill="accent6" w:themeFillTint="66"/>
          </w:tcPr>
          <w:p w:rsidR="00F62BF5" w:rsidRDefault="00DD1F87" w:rsidP="00484DEB">
            <w:pPr>
              <w:spacing w:before="120" w:after="120" w:line="252" w:lineRule="auto"/>
              <w:rPr>
                <w:i/>
                <w:sz w:val="20"/>
              </w:rPr>
            </w:pPr>
            <w:r>
              <w:rPr>
                <w:i/>
                <w:sz w:val="20"/>
              </w:rPr>
              <w:t>Outline the key activities that your organisation(s) have undertaken</w:t>
            </w:r>
            <w:r w:rsidR="00F62BF5">
              <w:rPr>
                <w:i/>
                <w:sz w:val="20"/>
              </w:rPr>
              <w:t xml:space="preserve"> in your economy during the last year.  </w:t>
            </w:r>
          </w:p>
          <w:p w:rsidR="002957EB" w:rsidRPr="002957EB" w:rsidRDefault="002957EB" w:rsidP="002957EB">
            <w:pPr>
              <w:spacing w:before="120" w:line="252" w:lineRule="auto"/>
              <w:rPr>
                <w:b/>
                <w:i/>
                <w:sz w:val="20"/>
              </w:rPr>
            </w:pPr>
            <w:r w:rsidRPr="002957EB">
              <w:rPr>
                <w:b/>
                <w:i/>
                <w:sz w:val="20"/>
              </w:rPr>
              <w:t>Key themes</w:t>
            </w:r>
          </w:p>
          <w:p w:rsidR="00F62BF5" w:rsidRDefault="00F62BF5" w:rsidP="002957EB">
            <w:pPr>
              <w:spacing w:after="60" w:line="252" w:lineRule="auto"/>
              <w:rPr>
                <w:i/>
                <w:sz w:val="20"/>
              </w:rPr>
            </w:pPr>
            <w:r>
              <w:rPr>
                <w:i/>
                <w:sz w:val="20"/>
              </w:rPr>
              <w:t>It would be useful to group these activities in terms of key areas</w:t>
            </w:r>
            <w:r w:rsidR="003C5123">
              <w:rPr>
                <w:i/>
                <w:sz w:val="20"/>
              </w:rPr>
              <w:t>/themes</w:t>
            </w:r>
            <w:r>
              <w:rPr>
                <w:i/>
                <w:sz w:val="20"/>
              </w:rPr>
              <w:t xml:space="preserve">, for example, activities that you </w:t>
            </w:r>
            <w:r w:rsidR="003C5123">
              <w:rPr>
                <w:i/>
                <w:sz w:val="20"/>
              </w:rPr>
              <w:t>have undertaken in relation to:</w:t>
            </w:r>
            <w:r>
              <w:rPr>
                <w:i/>
                <w:sz w:val="20"/>
              </w:rPr>
              <w:t xml:space="preserve"> </w:t>
            </w:r>
          </w:p>
          <w:p w:rsidR="00F62BF5" w:rsidRPr="00F62BF5" w:rsidRDefault="00F62BF5" w:rsidP="00F62BF5">
            <w:pPr>
              <w:pStyle w:val="ListParagraph"/>
              <w:numPr>
                <w:ilvl w:val="0"/>
                <w:numId w:val="3"/>
              </w:numPr>
              <w:spacing w:before="120" w:after="120" w:line="252" w:lineRule="auto"/>
              <w:rPr>
                <w:i/>
                <w:sz w:val="20"/>
              </w:rPr>
            </w:pPr>
            <w:r w:rsidRPr="00F62BF5">
              <w:rPr>
                <w:i/>
                <w:sz w:val="20"/>
              </w:rPr>
              <w:t>Supporting industry, with provision of training, inspection and enforcement, certification, promotions</w:t>
            </w:r>
            <w:r w:rsidR="003C5123">
              <w:rPr>
                <w:i/>
                <w:sz w:val="20"/>
              </w:rPr>
              <w:t xml:space="preserve"> (e</w:t>
            </w:r>
            <w:r w:rsidR="00C34A62">
              <w:rPr>
                <w:i/>
                <w:sz w:val="20"/>
              </w:rPr>
              <w:t>.</w:t>
            </w:r>
            <w:r w:rsidR="003C5123">
              <w:rPr>
                <w:i/>
                <w:sz w:val="20"/>
              </w:rPr>
              <w:t>g</w:t>
            </w:r>
            <w:r w:rsidR="00C34A62">
              <w:rPr>
                <w:i/>
                <w:sz w:val="20"/>
              </w:rPr>
              <w:t>.</w:t>
            </w:r>
            <w:r w:rsidR="003C5123">
              <w:rPr>
                <w:i/>
                <w:sz w:val="20"/>
              </w:rPr>
              <w:t xml:space="preserve"> World Metrology Day activities)</w:t>
            </w:r>
            <w:r w:rsidRPr="00F62BF5">
              <w:rPr>
                <w:i/>
                <w:sz w:val="20"/>
              </w:rPr>
              <w:t>, any focus on key industry sectors (e</w:t>
            </w:r>
            <w:r w:rsidR="00C34A62">
              <w:rPr>
                <w:i/>
                <w:sz w:val="20"/>
              </w:rPr>
              <w:t>.</w:t>
            </w:r>
            <w:r w:rsidRPr="00F62BF5">
              <w:rPr>
                <w:i/>
                <w:sz w:val="20"/>
              </w:rPr>
              <w:t>g</w:t>
            </w:r>
            <w:r w:rsidR="00C34A62">
              <w:rPr>
                <w:i/>
                <w:sz w:val="20"/>
              </w:rPr>
              <w:t>.</w:t>
            </w:r>
            <w:r w:rsidR="00E07DA9">
              <w:rPr>
                <w:i/>
                <w:sz w:val="20"/>
              </w:rPr>
              <w:t xml:space="preserve"> </w:t>
            </w:r>
            <w:r w:rsidRPr="00F62BF5">
              <w:rPr>
                <w:i/>
                <w:sz w:val="20"/>
              </w:rPr>
              <w:t xml:space="preserve"> </w:t>
            </w:r>
            <w:proofErr w:type="gramStart"/>
            <w:r w:rsidRPr="00F62BF5">
              <w:rPr>
                <w:i/>
                <w:sz w:val="20"/>
              </w:rPr>
              <w:t>fuel</w:t>
            </w:r>
            <w:proofErr w:type="gramEnd"/>
            <w:r w:rsidRPr="00F62BF5">
              <w:rPr>
                <w:i/>
                <w:sz w:val="20"/>
              </w:rPr>
              <w:t>, electrical, medical, tra</w:t>
            </w:r>
            <w:r w:rsidR="003C5123">
              <w:rPr>
                <w:i/>
                <w:sz w:val="20"/>
              </w:rPr>
              <w:t>nsportation, manufacturing, etc</w:t>
            </w:r>
            <w:r w:rsidR="00C34A62">
              <w:rPr>
                <w:i/>
                <w:sz w:val="20"/>
              </w:rPr>
              <w:t>.</w:t>
            </w:r>
            <w:r w:rsidR="003C5123">
              <w:rPr>
                <w:i/>
                <w:sz w:val="20"/>
              </w:rPr>
              <w:t>), stakeholder engagement on legislation changes etc</w:t>
            </w:r>
            <w:r w:rsidR="00C34A62">
              <w:rPr>
                <w:i/>
                <w:sz w:val="20"/>
              </w:rPr>
              <w:t>.</w:t>
            </w:r>
          </w:p>
          <w:p w:rsidR="00F62BF5" w:rsidRPr="00F62BF5" w:rsidRDefault="00F62BF5" w:rsidP="00F62BF5">
            <w:pPr>
              <w:pStyle w:val="ListParagraph"/>
              <w:numPr>
                <w:ilvl w:val="0"/>
                <w:numId w:val="3"/>
              </w:numPr>
              <w:spacing w:before="120" w:after="120" w:line="252" w:lineRule="auto"/>
              <w:rPr>
                <w:i/>
                <w:sz w:val="20"/>
              </w:rPr>
            </w:pPr>
            <w:r w:rsidRPr="00F62BF5">
              <w:rPr>
                <w:i/>
                <w:sz w:val="20"/>
              </w:rPr>
              <w:t>Protecting consumers, including promotional or awareness raising activities, enforcement actions, publications and any focus on key consumer groups (</w:t>
            </w:r>
            <w:r w:rsidR="003C5123">
              <w:rPr>
                <w:i/>
                <w:sz w:val="20"/>
              </w:rPr>
              <w:t>e</w:t>
            </w:r>
            <w:r w:rsidR="00C34A62">
              <w:rPr>
                <w:i/>
                <w:sz w:val="20"/>
              </w:rPr>
              <w:t>.</w:t>
            </w:r>
            <w:r w:rsidR="003C5123">
              <w:rPr>
                <w:i/>
                <w:sz w:val="20"/>
              </w:rPr>
              <w:t>g</w:t>
            </w:r>
            <w:r w:rsidR="00C34A62">
              <w:rPr>
                <w:i/>
                <w:sz w:val="20"/>
              </w:rPr>
              <w:t>.</w:t>
            </w:r>
            <w:r w:rsidR="003C5123">
              <w:rPr>
                <w:i/>
                <w:sz w:val="20"/>
              </w:rPr>
              <w:t xml:space="preserve"> </w:t>
            </w:r>
            <w:r w:rsidRPr="00F62BF5">
              <w:rPr>
                <w:i/>
                <w:sz w:val="20"/>
              </w:rPr>
              <w:t>elderly, youth etc</w:t>
            </w:r>
            <w:r w:rsidR="00C34A62">
              <w:rPr>
                <w:i/>
                <w:sz w:val="20"/>
              </w:rPr>
              <w:t>.</w:t>
            </w:r>
            <w:r w:rsidRPr="00F62BF5">
              <w:rPr>
                <w:i/>
                <w:sz w:val="20"/>
              </w:rPr>
              <w:t xml:space="preserve">) </w:t>
            </w:r>
          </w:p>
          <w:p w:rsidR="00DD1F87" w:rsidRPr="00F62BF5" w:rsidRDefault="00F62BF5" w:rsidP="00F62BF5">
            <w:pPr>
              <w:pStyle w:val="ListParagraph"/>
              <w:numPr>
                <w:ilvl w:val="0"/>
                <w:numId w:val="3"/>
              </w:numPr>
              <w:spacing w:before="120" w:after="120" w:line="252" w:lineRule="auto"/>
              <w:rPr>
                <w:i/>
                <w:sz w:val="20"/>
              </w:rPr>
            </w:pPr>
            <w:r w:rsidRPr="00F62BF5">
              <w:rPr>
                <w:i/>
                <w:sz w:val="20"/>
              </w:rPr>
              <w:t>Research</w:t>
            </w:r>
            <w:r w:rsidR="003C5123">
              <w:rPr>
                <w:i/>
                <w:sz w:val="20"/>
              </w:rPr>
              <w:t xml:space="preserve"> or surveys that have had an impact on your work programme or enforcement activities</w:t>
            </w:r>
          </w:p>
          <w:p w:rsidR="007106C5" w:rsidRPr="007106C5" w:rsidRDefault="007106C5" w:rsidP="00F62BF5">
            <w:pPr>
              <w:spacing w:after="60" w:line="252" w:lineRule="auto"/>
              <w:rPr>
                <w:b/>
                <w:i/>
                <w:sz w:val="20"/>
              </w:rPr>
            </w:pPr>
            <w:r w:rsidRPr="007106C5">
              <w:rPr>
                <w:b/>
                <w:i/>
                <w:sz w:val="20"/>
              </w:rPr>
              <w:t>Key projects:</w:t>
            </w:r>
          </w:p>
          <w:p w:rsidR="007106C5" w:rsidRDefault="003C5123" w:rsidP="00F62BF5">
            <w:pPr>
              <w:spacing w:after="60" w:line="252" w:lineRule="auto"/>
              <w:rPr>
                <w:i/>
                <w:sz w:val="20"/>
              </w:rPr>
            </w:pPr>
            <w:r>
              <w:rPr>
                <w:i/>
                <w:sz w:val="20"/>
              </w:rPr>
              <w:t>Please also separately note any key projects that you have undertaken during the period</w:t>
            </w:r>
            <w:r w:rsidR="00EA5191">
              <w:rPr>
                <w:i/>
                <w:sz w:val="20"/>
              </w:rPr>
              <w:t>.  P</w:t>
            </w:r>
            <w:r w:rsidR="007106C5">
              <w:rPr>
                <w:i/>
                <w:sz w:val="20"/>
              </w:rPr>
              <w:t>rovide a</w:t>
            </w:r>
            <w:r w:rsidR="00EA5191">
              <w:rPr>
                <w:i/>
                <w:sz w:val="20"/>
              </w:rPr>
              <w:t xml:space="preserve"> brief</w:t>
            </w:r>
            <w:r w:rsidR="007106C5">
              <w:rPr>
                <w:i/>
                <w:sz w:val="20"/>
              </w:rPr>
              <w:t xml:space="preserve"> description of the project – what was the </w:t>
            </w:r>
            <w:proofErr w:type="gramStart"/>
            <w:r w:rsidR="007106C5">
              <w:rPr>
                <w:i/>
                <w:sz w:val="20"/>
              </w:rPr>
              <w:t>scope,</w:t>
            </w:r>
            <w:proofErr w:type="gramEnd"/>
            <w:r w:rsidR="007106C5">
              <w:rPr>
                <w:i/>
                <w:sz w:val="20"/>
              </w:rPr>
              <w:t xml:space="preserve"> what were you seeking to change, what</w:t>
            </w:r>
            <w:r w:rsidR="00EA5191">
              <w:rPr>
                <w:i/>
                <w:sz w:val="20"/>
              </w:rPr>
              <w:t xml:space="preserve"> were your </w:t>
            </w:r>
            <w:r w:rsidR="007106C5">
              <w:rPr>
                <w:i/>
                <w:sz w:val="20"/>
              </w:rPr>
              <w:t xml:space="preserve">targets </w:t>
            </w:r>
            <w:r w:rsidR="00EA5191">
              <w:rPr>
                <w:i/>
                <w:sz w:val="20"/>
              </w:rPr>
              <w:t>or goals</w:t>
            </w:r>
            <w:r w:rsidR="007106C5">
              <w:rPr>
                <w:i/>
                <w:sz w:val="20"/>
              </w:rPr>
              <w:t xml:space="preserve"> (outputs and outcomes).   </w:t>
            </w:r>
          </w:p>
          <w:p w:rsidR="00F62BF5" w:rsidRDefault="007106C5" w:rsidP="00F62BF5">
            <w:pPr>
              <w:spacing w:after="60" w:line="252" w:lineRule="auto"/>
              <w:rPr>
                <w:i/>
                <w:sz w:val="20"/>
              </w:rPr>
            </w:pPr>
            <w:r>
              <w:rPr>
                <w:i/>
                <w:sz w:val="20"/>
              </w:rPr>
              <w:t>S</w:t>
            </w:r>
            <w:r w:rsidR="003C5123">
              <w:rPr>
                <w:i/>
                <w:sz w:val="20"/>
              </w:rPr>
              <w:t>hare any key learnings</w:t>
            </w:r>
            <w:r>
              <w:rPr>
                <w:i/>
                <w:sz w:val="20"/>
              </w:rPr>
              <w:t xml:space="preserve"> ― </w:t>
            </w:r>
            <w:r w:rsidR="003C5123">
              <w:rPr>
                <w:i/>
                <w:sz w:val="20"/>
              </w:rPr>
              <w:t>what worked well, what did</w:t>
            </w:r>
            <w:r w:rsidR="00EA5191">
              <w:rPr>
                <w:i/>
                <w:sz w:val="20"/>
              </w:rPr>
              <w:t xml:space="preserve"> not</w:t>
            </w:r>
            <w:r w:rsidR="003C5123">
              <w:rPr>
                <w:i/>
                <w:sz w:val="20"/>
              </w:rPr>
              <w:t>, why the project was a success, how it could be improved</w:t>
            </w:r>
            <w:r>
              <w:rPr>
                <w:i/>
                <w:sz w:val="20"/>
              </w:rPr>
              <w:t>, etc</w:t>
            </w:r>
            <w:r w:rsidR="003C5123">
              <w:rPr>
                <w:i/>
                <w:sz w:val="20"/>
              </w:rPr>
              <w:t xml:space="preserve">.  </w:t>
            </w:r>
            <w:r>
              <w:rPr>
                <w:i/>
                <w:sz w:val="20"/>
              </w:rPr>
              <w:t>T</w:t>
            </w:r>
            <w:r w:rsidR="003C5123">
              <w:rPr>
                <w:i/>
                <w:sz w:val="20"/>
              </w:rPr>
              <w:t xml:space="preserve">hink about what </w:t>
            </w:r>
            <w:r>
              <w:rPr>
                <w:i/>
                <w:sz w:val="20"/>
              </w:rPr>
              <w:t xml:space="preserve">aspects it </w:t>
            </w:r>
            <w:r w:rsidR="003C5123">
              <w:rPr>
                <w:i/>
                <w:sz w:val="20"/>
              </w:rPr>
              <w:t>would be useful for other member economies to know about</w:t>
            </w:r>
            <w:r>
              <w:rPr>
                <w:i/>
                <w:sz w:val="20"/>
              </w:rPr>
              <w:t xml:space="preserve">, particularly </w:t>
            </w:r>
            <w:r w:rsidR="003C5123">
              <w:rPr>
                <w:i/>
                <w:sz w:val="20"/>
              </w:rPr>
              <w:t xml:space="preserve">if they were to undertake a similar project.  </w:t>
            </w:r>
            <w:r w:rsidR="00E541DF" w:rsidRPr="003F5AB3">
              <w:rPr>
                <w:i/>
                <w:sz w:val="20"/>
              </w:rPr>
              <w:t>Note:  Key projects could be included in your Poster presentation at the Cambodia meeting.</w:t>
            </w:r>
            <w:r w:rsidR="00E541DF">
              <w:rPr>
                <w:i/>
                <w:sz w:val="20"/>
              </w:rPr>
              <w:t xml:space="preserve"> </w:t>
            </w:r>
          </w:p>
          <w:p w:rsidR="00DD1F87" w:rsidRPr="002957EB" w:rsidRDefault="00DD1F87" w:rsidP="00333437">
            <w:pPr>
              <w:spacing w:before="120" w:after="120" w:line="252" w:lineRule="auto"/>
              <w:rPr>
                <w:b/>
                <w:i/>
                <w:sz w:val="20"/>
              </w:rPr>
            </w:pPr>
            <w:r w:rsidRPr="002957EB">
              <w:rPr>
                <w:b/>
                <w:i/>
                <w:sz w:val="20"/>
              </w:rPr>
              <w:t>Suggested length 1-</w:t>
            </w:r>
            <w:r w:rsidR="00F62BF5" w:rsidRPr="002957EB">
              <w:rPr>
                <w:b/>
                <w:i/>
                <w:sz w:val="20"/>
              </w:rPr>
              <w:t>5</w:t>
            </w:r>
            <w:r w:rsidRPr="002957EB">
              <w:rPr>
                <w:b/>
                <w:i/>
                <w:sz w:val="20"/>
              </w:rPr>
              <w:t xml:space="preserve"> pages </w:t>
            </w:r>
          </w:p>
        </w:tc>
      </w:tr>
    </w:tbl>
    <w:p w:rsidR="00DD1F87" w:rsidRDefault="00DD1F87" w:rsidP="00DD1F87"/>
    <w:p w:rsidR="00DD1F87" w:rsidRDefault="00DD1F87" w:rsidP="00F05746"/>
    <w:p w:rsidR="007106C5" w:rsidRDefault="007106C5" w:rsidP="00DD1F87">
      <w:pPr>
        <w:pStyle w:val="Heading2"/>
      </w:pPr>
      <w:r>
        <w:t>Working with i</w:t>
      </w:r>
      <w:r w:rsidR="00F05746">
        <w:t>ndustry</w:t>
      </w:r>
    </w:p>
    <w:p w:rsidR="007106C5" w:rsidRPr="007106C5" w:rsidRDefault="007106C5" w:rsidP="007106C5"/>
    <w:p w:rsidR="007E1F12" w:rsidRPr="007E1F12" w:rsidRDefault="007E1F12" w:rsidP="007E1F12">
      <w:pPr>
        <w:rPr>
          <w:b/>
        </w:rPr>
      </w:pPr>
      <w:r w:rsidRPr="007E1F12">
        <w:rPr>
          <w:b/>
        </w:rPr>
        <w:t>Packed poultry products</w:t>
      </w:r>
    </w:p>
    <w:p w:rsidR="007E1F12" w:rsidRDefault="007E1F12" w:rsidP="007E1F12"/>
    <w:p w:rsidR="007E1F12" w:rsidRDefault="007E1F12" w:rsidP="007E1F12">
      <w:r>
        <w:t xml:space="preserve">After Trading Standards </w:t>
      </w:r>
      <w:r w:rsidR="008C6AC9">
        <w:t xml:space="preserve">(TS) </w:t>
      </w:r>
      <w:r>
        <w:t>had dialogue with the Poultry Industry of New Zealand last year, where consensus could not be attained regarding whether or not the fluid that has exuded from the poultry after it has been packed forms par</w:t>
      </w:r>
      <w:r w:rsidR="005A6776">
        <w:t>t of the net quantity statement</w:t>
      </w:r>
      <w:r w:rsidR="008C6AC9">
        <w:t xml:space="preserve">, </w:t>
      </w:r>
      <w:r>
        <w:t>TS developed and released a guidance document to the industry outlining the test methods that would be employed by an Inspector when completing destructive testing.</w:t>
      </w:r>
    </w:p>
    <w:p w:rsidR="007E1F12" w:rsidRDefault="007E1F12" w:rsidP="007E1F12"/>
    <w:p w:rsidR="007E1F12" w:rsidRDefault="007E1F12" w:rsidP="007E1F12">
      <w:r>
        <w:t xml:space="preserve">Subsequently a project was completed during June </w:t>
      </w:r>
      <w:r w:rsidR="008C6AC9">
        <w:t xml:space="preserve">and </w:t>
      </w:r>
      <w:r>
        <w:t xml:space="preserve">July 2017, which involved Inspectors’ completing 97 test purchases of poultry products. </w:t>
      </w:r>
      <w:r w:rsidR="000A7158">
        <w:t xml:space="preserve"> </w:t>
      </w:r>
      <w:r>
        <w:t xml:space="preserve">The samples were then destructive tested, which revealed that goods packed to a constant net quantity were 94% complaint and goods packed to </w:t>
      </w:r>
      <w:r w:rsidR="000A7158">
        <w:t>catch weight</w:t>
      </w:r>
      <w:r>
        <w:t xml:space="preserve"> were 21% compliant.</w:t>
      </w:r>
    </w:p>
    <w:p w:rsidR="007E1F12" w:rsidRDefault="007E1F12" w:rsidP="007E1F12"/>
    <w:p w:rsidR="007E1F12" w:rsidRDefault="007E1F12" w:rsidP="007E1F12">
      <w:r>
        <w:t>It has been determine</w:t>
      </w:r>
      <w:r w:rsidR="001C79E9">
        <w:t>d</w:t>
      </w:r>
      <w:r>
        <w:t xml:space="preserve"> that the high level of </w:t>
      </w:r>
      <w:r w:rsidR="000A7158">
        <w:t>non-compliance</w:t>
      </w:r>
      <w:r>
        <w:t xml:space="preserve"> with the </w:t>
      </w:r>
      <w:r w:rsidR="000A7158">
        <w:t>catch weight</w:t>
      </w:r>
      <w:r>
        <w:t xml:space="preserve"> goods is a result of the statement of net quantity being applied at the retail level; instead of at the point of packing. This then creates two potential issues:</w:t>
      </w:r>
    </w:p>
    <w:p w:rsidR="007E1F12" w:rsidRDefault="007E1F12" w:rsidP="007E1F12"/>
    <w:p w:rsidR="007E1F12" w:rsidRDefault="007E1F12" w:rsidP="007E1F12">
      <w:r>
        <w:t xml:space="preserve">1. The retailer cannot accurately ascertain and apply an accurate tare weight, and </w:t>
      </w:r>
    </w:p>
    <w:p w:rsidR="007E1F12" w:rsidRDefault="007E1F12" w:rsidP="007E1F12">
      <w:r>
        <w:t>2. The time and environmental conditions between packing and the product being exposed for sale/sold may be uncontrolled; allowing the poultry to exude fluid into the soaker pad, which forms part of the packing material, reducing the stated net quantity.</w:t>
      </w:r>
    </w:p>
    <w:p w:rsidR="007E1F12" w:rsidRDefault="007E1F12" w:rsidP="007E1F12"/>
    <w:p w:rsidR="007E1F12" w:rsidRDefault="007E1F12" w:rsidP="007E1F12">
      <w:r>
        <w:t>Trading Standards maintain our position that this fluid exuded is not considered meat and should therefore not be included in the net quantity statement.</w:t>
      </w:r>
    </w:p>
    <w:p w:rsidR="007E1F12" w:rsidRDefault="007E1F12" w:rsidP="007E1F12"/>
    <w:p w:rsidR="007E1F12" w:rsidRDefault="007E1F12" w:rsidP="007E1F12">
      <w:r>
        <w:t>Trading Standards has been in consultation with the industry association, who represent the major poultry manufacturers in New Zealand, since the beginning and have aimed to seek voluntary compliance. However, the association is continuing to maintain an opposing position.</w:t>
      </w:r>
    </w:p>
    <w:p w:rsidR="007E1F12" w:rsidRDefault="007E1F12" w:rsidP="007E1F12"/>
    <w:p w:rsidR="007E1F12" w:rsidRDefault="007E1F12" w:rsidP="007E1F12">
      <w:r>
        <w:t xml:space="preserve">As a result of the project Trading Standards are currently considering the appropriate enforcement action to take with the aim of the industry association taking the lead nationally. </w:t>
      </w:r>
      <w:r w:rsidR="000A7158">
        <w:t xml:space="preserve"> </w:t>
      </w:r>
      <w:r>
        <w:t>However, if an amicable solution to the issue cannot be agreed with the industry association localised action will be taken to achieve legislative compliance.</w:t>
      </w:r>
    </w:p>
    <w:p w:rsidR="007E1F12" w:rsidRDefault="007E1F12" w:rsidP="007E1F12">
      <w:r>
        <w:t xml:space="preserve"> </w:t>
      </w:r>
    </w:p>
    <w:p w:rsidR="007E1F12" w:rsidRDefault="007E1F12" w:rsidP="007E1F12"/>
    <w:p w:rsidR="007E1F12" w:rsidRPr="007E1F12" w:rsidRDefault="007E1F12" w:rsidP="007E1F12">
      <w:pPr>
        <w:rPr>
          <w:b/>
        </w:rPr>
      </w:pPr>
      <w:r w:rsidRPr="007E1F12">
        <w:rPr>
          <w:b/>
        </w:rPr>
        <w:t>Engaging with industry associations</w:t>
      </w:r>
    </w:p>
    <w:p w:rsidR="007E1F12" w:rsidRDefault="007E1F12" w:rsidP="007E1F12"/>
    <w:p w:rsidR="007E1F12" w:rsidRDefault="007E1F12" w:rsidP="007E1F12">
      <w:r>
        <w:t xml:space="preserve">Trading Standards continue to engage with industry associations to provide advice on legal matters and disseminate information and news to their members. </w:t>
      </w:r>
      <w:r w:rsidR="000A7158">
        <w:t xml:space="preserve"> </w:t>
      </w:r>
      <w:r>
        <w:t>A recent example of this is a meeting with representatives of the fresh produce industry to discuss compliance with weights and measure legislation, specifically packaged goods; fresh fruit and vegetables.</w:t>
      </w:r>
    </w:p>
    <w:p w:rsidR="007E1F12" w:rsidRDefault="007E1F12" w:rsidP="007E1F12"/>
    <w:p w:rsidR="00F05746" w:rsidRDefault="007E1F12" w:rsidP="007E1F12">
      <w:r>
        <w:t xml:space="preserve">United Fresh New Zealand Incorporated, an organisation that represents over 90 organisations involved in the fresh produce industry, approached Trading Standards to consult with them on the development of a guidance document / industry standard, which will specifically cover compliance with weights and measures legislation. </w:t>
      </w:r>
      <w:r w:rsidR="000A7158">
        <w:t xml:space="preserve"> </w:t>
      </w:r>
      <w:r>
        <w:t>It is envisaged that this document will be completed and enacted by the end of 2017.</w:t>
      </w:r>
      <w:r>
        <w:br/>
      </w:r>
      <w:r>
        <w:br/>
      </w:r>
      <w:r>
        <w:br/>
      </w:r>
      <w:r w:rsidR="007106C5" w:rsidRPr="007E1F12">
        <w:rPr>
          <w:rFonts w:asciiTheme="majorHAnsi" w:eastAsiaTheme="majorEastAsia" w:hAnsiTheme="majorHAnsi" w:cstheme="majorBidi"/>
          <w:b/>
          <w:bCs/>
          <w:color w:val="4F81BD" w:themeColor="accent1"/>
          <w:sz w:val="26"/>
          <w:szCs w:val="26"/>
        </w:rPr>
        <w:t xml:space="preserve">Protecting </w:t>
      </w:r>
      <w:r w:rsidR="00F05746" w:rsidRPr="007E1F12">
        <w:rPr>
          <w:rFonts w:asciiTheme="majorHAnsi" w:eastAsiaTheme="majorEastAsia" w:hAnsiTheme="majorHAnsi" w:cstheme="majorBidi"/>
          <w:b/>
          <w:bCs/>
          <w:color w:val="4F81BD" w:themeColor="accent1"/>
          <w:sz w:val="26"/>
          <w:szCs w:val="26"/>
        </w:rPr>
        <w:t>consumer</w:t>
      </w:r>
      <w:r w:rsidR="007106C5" w:rsidRPr="007E1F12">
        <w:rPr>
          <w:rFonts w:asciiTheme="majorHAnsi" w:eastAsiaTheme="majorEastAsia" w:hAnsiTheme="majorHAnsi" w:cstheme="majorBidi"/>
          <w:b/>
          <w:bCs/>
          <w:color w:val="4F81BD" w:themeColor="accent1"/>
          <w:sz w:val="26"/>
          <w:szCs w:val="26"/>
        </w:rPr>
        <w:t>s</w:t>
      </w:r>
      <w:r w:rsidR="007106C5">
        <w:t xml:space="preserve"> </w:t>
      </w:r>
    </w:p>
    <w:p w:rsidR="00F05746" w:rsidRDefault="00F05746" w:rsidP="00F05746"/>
    <w:p w:rsidR="007E1F12" w:rsidRPr="007E1F12" w:rsidRDefault="007E1F12" w:rsidP="007E1F12">
      <w:pPr>
        <w:rPr>
          <w:b/>
        </w:rPr>
      </w:pPr>
      <w:r w:rsidRPr="007E1F12">
        <w:rPr>
          <w:b/>
        </w:rPr>
        <w:t>Ministry of Transport (MOT) changes how taxis operate in New Zealand</w:t>
      </w:r>
    </w:p>
    <w:p w:rsidR="007E1F12" w:rsidRDefault="007E1F12" w:rsidP="007E1F12"/>
    <w:p w:rsidR="007E1F12" w:rsidRDefault="007E1F12" w:rsidP="007E1F12">
      <w:r>
        <w:t>The MOT have changed the Land Transport Act 1998 to introduce new rules for taxis, shuttles, private hire and app-based services with 12 seats or less (including the driver).</w:t>
      </w:r>
    </w:p>
    <w:p w:rsidR="007E1F12" w:rsidRDefault="007E1F12" w:rsidP="007E1F12"/>
    <w:p w:rsidR="007E1F12" w:rsidRDefault="007E1F12" w:rsidP="007E1F12">
      <w:r>
        <w:t>The basis of the changes is to create ‘simple rules for all’, which will accommodate the recent changes in the industry; with the influx in app based passenger services being a primary factor.</w:t>
      </w:r>
    </w:p>
    <w:p w:rsidR="007E1F12" w:rsidRDefault="007E1F12" w:rsidP="007E1F12"/>
    <w:p w:rsidR="007E1F12" w:rsidRDefault="007E1F12" w:rsidP="007E1F12">
      <w:r>
        <w:t xml:space="preserve">Trading Standards held a meeting with the MOT policy makers and presented the internationally recognised system for approving taxi meters, verifying them and also highlighted the potential for consumers to be disadvantaged if the taxi meter could not be relied upon for accurately recording the fair. </w:t>
      </w:r>
      <w:r w:rsidR="000A7158">
        <w:t xml:space="preserve"> </w:t>
      </w:r>
      <w:r>
        <w:t>However, the new rules only stipulate that “a small passenger service operator must ensure that any distance/time meter used to calculate a fare in a vehicle used in a small passenger service is accurate”.</w:t>
      </w:r>
    </w:p>
    <w:p w:rsidR="007E1F12" w:rsidRDefault="007E1F12" w:rsidP="007E1F12"/>
    <w:p w:rsidR="007E1F12" w:rsidRDefault="007E1F12" w:rsidP="007E1F12">
      <w:r>
        <w:t>Some of the key points of interest include:</w:t>
      </w:r>
    </w:p>
    <w:p w:rsidR="007E1F12" w:rsidRDefault="007E1F12" w:rsidP="007E1F12"/>
    <w:p w:rsidR="007E1F12" w:rsidRDefault="007E1F12" w:rsidP="007E1F12">
      <w:r>
        <w:t xml:space="preserve">• Small passenger service vehicles will no longer be required to be branded, display signage or braille, or use a meter to calculate the fare.  More detailed information for passengers can be found on our website in the section titled I need to hire a ride.  </w:t>
      </w:r>
    </w:p>
    <w:p w:rsidR="007E1F12" w:rsidRDefault="007E1F12" w:rsidP="007E1F12"/>
    <w:p w:rsidR="007E1F12" w:rsidRDefault="007E1F12" w:rsidP="007E1F12">
      <w:r>
        <w:t xml:space="preserve">• Entities that operate or facilitate a service that connects drivers with passengers must hold a Small Passenger Service Licence.  This includes organisations that regularly and systematically connect tourists with a shuttle service, taxi or other SPS.  Some of these operators may not have held a licence in the past. </w:t>
      </w:r>
    </w:p>
    <w:p w:rsidR="007E1F12" w:rsidRDefault="007E1F12" w:rsidP="007E1F12"/>
    <w:p w:rsidR="003C5123" w:rsidRDefault="007E1F12" w:rsidP="007E1F12">
      <w:r>
        <w:t>The details of the changes are available on the NZ Transport Agency website (</w:t>
      </w:r>
      <w:hyperlink r:id="rId13" w:history="1">
        <w:r w:rsidRPr="00F55A3E">
          <w:rPr>
            <w:rStyle w:val="Hyperlink"/>
          </w:rPr>
          <w:t>www.nzta.govt.nz/passenger-services-news</w:t>
        </w:r>
      </w:hyperlink>
      <w:r>
        <w:t>) and come into effect on 1st October 2017.</w:t>
      </w:r>
    </w:p>
    <w:p w:rsidR="003C5123" w:rsidRDefault="003C5123" w:rsidP="00F05746"/>
    <w:p w:rsidR="007106C5" w:rsidRDefault="007106C5" w:rsidP="00F05746"/>
    <w:p w:rsidR="002957EB" w:rsidRDefault="00F05746" w:rsidP="0042359A">
      <w:pPr>
        <w:pStyle w:val="Heading2"/>
      </w:pPr>
      <w:r>
        <w:t xml:space="preserve">Major </w:t>
      </w:r>
      <w:r w:rsidR="007106C5">
        <w:t>p</w:t>
      </w:r>
      <w:r>
        <w:t>rojects</w:t>
      </w:r>
      <w:r w:rsidR="007106C5">
        <w:t xml:space="preserve"> - </w:t>
      </w:r>
      <w:r w:rsidR="007106C5" w:rsidRPr="007106C5">
        <w:t>What we did and what we learned</w:t>
      </w:r>
    </w:p>
    <w:p w:rsidR="002957EB" w:rsidRDefault="002957EB" w:rsidP="00F05746"/>
    <w:p w:rsidR="008E67C1" w:rsidRPr="00F14AE8" w:rsidRDefault="00F14AE8" w:rsidP="00F14AE8">
      <w:pPr>
        <w:spacing w:after="200" w:line="276" w:lineRule="auto"/>
      </w:pPr>
      <w:r w:rsidRPr="00F14AE8">
        <w:rPr>
          <w:b/>
        </w:rPr>
        <w:t>Development of e-learning modules for Accredited Persons</w:t>
      </w:r>
      <w:r>
        <w:rPr>
          <w:b/>
        </w:rPr>
        <w:br/>
      </w:r>
      <w:r>
        <w:rPr>
          <w:b/>
        </w:rPr>
        <w:br/>
      </w:r>
      <w:r>
        <w:t xml:space="preserve">Trading Standards </w:t>
      </w:r>
      <w:r w:rsidR="00513938">
        <w:t>is</w:t>
      </w:r>
      <w:r>
        <w:t xml:space="preserve"> in the process of developing bespoke online training modules for Accredited Persons (approved </w:t>
      </w:r>
      <w:r w:rsidR="0020428A">
        <w:t>3</w:t>
      </w:r>
      <w:r w:rsidR="0020428A" w:rsidRPr="0020428A">
        <w:rPr>
          <w:vertAlign w:val="superscript"/>
        </w:rPr>
        <w:t>rd</w:t>
      </w:r>
      <w:r w:rsidR="0020428A">
        <w:t xml:space="preserve"> party </w:t>
      </w:r>
      <w:r>
        <w:t>verifiers)</w:t>
      </w:r>
      <w:r w:rsidR="00513938">
        <w:t xml:space="preserve"> and Trading Standards Officers</w:t>
      </w:r>
      <w:r>
        <w:t>. The modules will contain an assessment section that an individual will be required to complete as part of their initial compliance audit and ongoing competency assessments.</w:t>
      </w:r>
      <w:r>
        <w:br/>
      </w:r>
      <w:r>
        <w:br/>
        <w:t xml:space="preserve">The modules, which are in the process of being created, are entitled: </w:t>
      </w:r>
      <w:r>
        <w:br/>
        <w:t>•</w:t>
      </w:r>
      <w:r>
        <w:tab/>
        <w:t>Module 1: Introduction to New Zealand's measurement system</w:t>
      </w:r>
      <w:r>
        <w:br/>
        <w:t>•</w:t>
      </w:r>
      <w:r>
        <w:tab/>
        <w:t>Module 2: Introduction to non-automatic weighing instruments</w:t>
      </w:r>
      <w:r>
        <w:br/>
        <w:t>•</w:t>
      </w:r>
      <w:r>
        <w:tab/>
        <w:t>Module 3: Testing weighing instruments</w:t>
      </w:r>
      <w:r>
        <w:br/>
      </w:r>
      <w:r>
        <w:br/>
        <w:t xml:space="preserve">Once the above three modules have been introduced further modules will be established for fuel dispensers and the </w:t>
      </w:r>
      <w:r w:rsidR="00887437">
        <w:t>A</w:t>
      </w:r>
      <w:r>
        <w:t xml:space="preserve">ccreditation </w:t>
      </w:r>
      <w:r w:rsidR="00887437">
        <w:t>S</w:t>
      </w:r>
      <w:r>
        <w:t>cheme.</w:t>
      </w:r>
      <w:r>
        <w:rPr>
          <w:b/>
        </w:rPr>
        <w:br/>
      </w:r>
      <w:r>
        <w:rPr>
          <w:b/>
        </w:rPr>
        <w:br/>
      </w:r>
      <w:r>
        <w:rPr>
          <w:b/>
        </w:rPr>
        <w:br/>
      </w:r>
      <w:r w:rsidR="00484DEB" w:rsidRPr="00484DEB">
        <w:rPr>
          <w:b/>
        </w:rPr>
        <w:t>Trade Measurement – Technical &amp; Accred</w:t>
      </w:r>
      <w:r>
        <w:rPr>
          <w:b/>
        </w:rPr>
        <w:t>itation Policies</w:t>
      </w:r>
      <w:r>
        <w:rPr>
          <w:b/>
        </w:rPr>
        <w:br/>
      </w:r>
      <w:r w:rsidR="007E1F12">
        <w:rPr>
          <w:b/>
        </w:rPr>
        <w:br/>
      </w:r>
      <w:r w:rsidR="00484DEB">
        <w:t>TS have continued to improve the legal metrology regime by providing clarity on technical issues on the verification and certification of instruments and the accreditation scheme that</w:t>
      </w:r>
      <w:r w:rsidR="007E1F12">
        <w:t xml:space="preserve"> were not included in the Act. </w:t>
      </w:r>
      <w:r w:rsidR="007E1F12">
        <w:br/>
      </w:r>
      <w:r w:rsidR="007E1F12">
        <w:br/>
      </w:r>
      <w:r w:rsidR="00484DEB">
        <w:t xml:space="preserve">The technical policies are based on requirements detailed in </w:t>
      </w:r>
      <w:r w:rsidR="00887437">
        <w:t xml:space="preserve">relevant </w:t>
      </w:r>
      <w:r w:rsidR="00484DEB">
        <w:t>OIML Recommendations</w:t>
      </w:r>
      <w:r w:rsidR="00887437">
        <w:t xml:space="preserve"> where available</w:t>
      </w:r>
      <w:r w:rsidR="00484DEB">
        <w:t xml:space="preserve">. </w:t>
      </w:r>
      <w:r w:rsidR="000A7158">
        <w:t xml:space="preserve"> </w:t>
      </w:r>
      <w:r w:rsidR="00484DEB">
        <w:t>All previously released technical policies in relation to the testing and examination of weighing and measuring instruments have been reviewed and revised into a single technical document for our Accredite</w:t>
      </w:r>
      <w:r w:rsidR="007E1F12">
        <w:t xml:space="preserve">d Persons (approved </w:t>
      </w:r>
      <w:r w:rsidR="00887437">
        <w:t>3</w:t>
      </w:r>
      <w:r w:rsidR="00887437" w:rsidRPr="00887437">
        <w:rPr>
          <w:vertAlign w:val="superscript"/>
        </w:rPr>
        <w:t>rd</w:t>
      </w:r>
      <w:r w:rsidR="00887437">
        <w:t xml:space="preserve"> party </w:t>
      </w:r>
      <w:r w:rsidR="007E1F12">
        <w:t>verifiers).</w:t>
      </w:r>
      <w:r w:rsidR="007E1F12">
        <w:br/>
      </w:r>
      <w:r w:rsidR="007E1F12">
        <w:br/>
      </w:r>
      <w:r w:rsidR="00484DEB">
        <w:t>The accreditation policies are reactive measures that have been deemed appropriate to ensure a more robust system of accreditation is administered.</w:t>
      </w:r>
      <w:r>
        <w:br/>
      </w:r>
      <w:r>
        <w:br/>
      </w:r>
      <w:r w:rsidR="007E1F12">
        <w:br/>
      </w:r>
      <w:r w:rsidR="007E1F12" w:rsidRPr="007E1F12">
        <w:rPr>
          <w:b/>
        </w:rPr>
        <w:t>Approvals Register</w:t>
      </w:r>
      <w:r w:rsidR="007E1F12">
        <w:br/>
      </w:r>
      <w:r w:rsidR="007E1F12">
        <w:br/>
      </w:r>
      <w:proofErr w:type="gramStart"/>
      <w:r w:rsidR="007E1F12">
        <w:t>A</w:t>
      </w:r>
      <w:proofErr w:type="gramEnd"/>
      <w:r w:rsidR="007E1F12">
        <w:t xml:space="preserve"> new online register has been developed, which contains all </w:t>
      </w:r>
      <w:r w:rsidR="00887437">
        <w:t xml:space="preserve">National </w:t>
      </w:r>
      <w:r w:rsidR="007E1F12">
        <w:t xml:space="preserve">Certificates of Approval issued in New Zealand. </w:t>
      </w:r>
      <w:r w:rsidR="000A7158">
        <w:t xml:space="preserve"> </w:t>
      </w:r>
      <w:r w:rsidR="007E1F12">
        <w:t xml:space="preserve">This tool has been developed primarily to assist Inspectors when completing inspections and Accredited Persons when completing certification and verification work. </w:t>
      </w:r>
      <w:r w:rsidR="0041651A">
        <w:t xml:space="preserve"> </w:t>
      </w:r>
      <w:r w:rsidR="007E1F12">
        <w:t xml:space="preserve">The register also has a comprehensive search function, which provides users the ability to search for a specific type or category of weighing or measuring instrument, and also the ability to use keywords, which may be a make, model, or type of instrument. </w:t>
      </w:r>
      <w:r w:rsidR="0041651A">
        <w:t xml:space="preserve"> </w:t>
      </w:r>
      <w:r w:rsidR="007E1F12">
        <w:t>This also benefits a person who is submitting a variant to an existing instrument or is planning to apply to introduce a new instrument into the NZ marketplace.</w:t>
      </w:r>
      <w:r>
        <w:br/>
      </w:r>
      <w:r>
        <w:br/>
      </w:r>
      <w:r>
        <w:rPr>
          <w:b/>
        </w:rPr>
        <w:br/>
      </w:r>
      <w:r w:rsidRPr="00F14AE8">
        <w:rPr>
          <w:b/>
        </w:rPr>
        <w:t>Trading Standards go paperless</w:t>
      </w:r>
      <w:r>
        <w:br/>
      </w:r>
      <w:r>
        <w:br/>
      </w:r>
      <w:proofErr w:type="gramStart"/>
      <w:r>
        <w:t>During</w:t>
      </w:r>
      <w:proofErr w:type="gramEnd"/>
      <w:r>
        <w:t xml:space="preserve"> inspection and auditing activities Inspectors capture data on an iPad using an application called ‘iAuditor’. </w:t>
      </w:r>
      <w:r w:rsidR="0041651A">
        <w:t xml:space="preserve"> </w:t>
      </w:r>
      <w:r>
        <w:t xml:space="preserve">This system was introduced two years ago and integrated into the data management system just over one year ago. </w:t>
      </w:r>
      <w:r w:rsidR="0041651A">
        <w:t xml:space="preserve"> </w:t>
      </w:r>
      <w:r>
        <w:t>After the initial launch a number of improvements were identified and subsequently actioned, which resulted in more relevant data being captured in our system.</w:t>
      </w:r>
      <w:r>
        <w:br/>
      </w:r>
      <w:r>
        <w:br/>
        <w:t>Furthermore the ‘iAuditor’ app has been employed to assist various internal initiatives within Trading Standards and the Ministry, i.e. health and safety checks on the vehicles and personal protective equipment used by Inspectors, pre inspection risk assessments of trader premises and also internal audits of our ISO17025 accredited laboratories.</w:t>
      </w:r>
      <w:r>
        <w:br/>
      </w:r>
      <w:r>
        <w:br/>
        <w:t xml:space="preserve">Trading Standards have also collaborated with an IT developer to extract the information into a data warehouse. </w:t>
      </w:r>
      <w:r w:rsidR="0041651A">
        <w:t xml:space="preserve"> </w:t>
      </w:r>
      <w:r>
        <w:t>A reporting tool was then implemented to allow Inspectors and Management to analyse the data for emerging trends, areas of interest and the performance Inspectors and Accredited Persons.</w:t>
      </w:r>
      <w:r w:rsidR="007E1F12">
        <w:br/>
      </w:r>
      <w:r w:rsidR="007E1F12">
        <w:br/>
      </w:r>
      <w:r w:rsidR="007E1F12">
        <w:br/>
      </w:r>
      <w:r w:rsidR="007E1F12" w:rsidRPr="007E1F12">
        <w:rPr>
          <w:rFonts w:asciiTheme="majorHAnsi" w:eastAsiaTheme="majorEastAsia" w:hAnsiTheme="majorHAnsi" w:cstheme="majorBidi"/>
          <w:b/>
          <w:bCs/>
          <w:color w:val="4F81BD" w:themeColor="accent1"/>
          <w:sz w:val="26"/>
          <w:szCs w:val="26"/>
        </w:rPr>
        <w:t>Other Activities</w:t>
      </w:r>
      <w:r w:rsidR="007E1F12">
        <w:rPr>
          <w:rFonts w:asciiTheme="majorHAnsi" w:eastAsiaTheme="majorEastAsia" w:hAnsiTheme="majorHAnsi" w:cstheme="majorBidi"/>
          <w:b/>
          <w:bCs/>
          <w:color w:val="4F81BD" w:themeColor="accent1"/>
          <w:sz w:val="26"/>
          <w:szCs w:val="26"/>
        </w:rPr>
        <w:br/>
      </w:r>
      <w:r w:rsidR="007E1F12">
        <w:rPr>
          <w:rFonts w:asciiTheme="majorHAnsi" w:eastAsiaTheme="majorEastAsia" w:hAnsiTheme="majorHAnsi" w:cstheme="majorBidi"/>
          <w:b/>
          <w:bCs/>
          <w:color w:val="4F81BD" w:themeColor="accent1"/>
          <w:sz w:val="26"/>
          <w:szCs w:val="26"/>
        </w:rPr>
        <w:br/>
      </w:r>
      <w:r w:rsidR="007E1F12" w:rsidRPr="007E1F12">
        <w:rPr>
          <w:b/>
        </w:rPr>
        <w:t>World Metrology Day 2017</w:t>
      </w:r>
      <w:r w:rsidR="007E1F12">
        <w:br/>
      </w:r>
      <w:r w:rsidR="007E1F12">
        <w:br/>
      </w:r>
      <w:proofErr w:type="gramStart"/>
      <w:r w:rsidR="007E1F12">
        <w:t>On</w:t>
      </w:r>
      <w:proofErr w:type="gramEnd"/>
      <w:r w:rsidR="007E1F12">
        <w:t xml:space="preserve"> 23</w:t>
      </w:r>
      <w:r w:rsidR="007E1F12" w:rsidRPr="00887437">
        <w:rPr>
          <w:vertAlign w:val="superscript"/>
        </w:rPr>
        <w:t>rd</w:t>
      </w:r>
      <w:r w:rsidR="00887437">
        <w:t xml:space="preserve"> </w:t>
      </w:r>
      <w:r w:rsidR="007E1F12">
        <w:t xml:space="preserve">May an event was held to commemorate the anniversary of the signing of the Metre Convention in 1875.  World Metrology Day (as it is more commonly known) was hosted by MSL alongside the Metrology Society of Australasia (MSA) at an event in Auckland.  Approximately 40 customers and key stakeholders were in attendance for the full day programme, which includes a technical presentation, workshop and a trip to the Defence Technology Agency in Devonport. </w:t>
      </w:r>
      <w:r w:rsidR="007E1F12">
        <w:br/>
      </w:r>
      <w:r w:rsidR="007E1F12">
        <w:br/>
      </w:r>
      <w:r w:rsidR="007E1F12">
        <w:br/>
      </w:r>
      <w:r w:rsidR="007E1F12" w:rsidRPr="007E1F12">
        <w:rPr>
          <w:b/>
        </w:rPr>
        <w:t>Media Presence</w:t>
      </w:r>
      <w:r w:rsidR="007E1F12">
        <w:br/>
      </w:r>
      <w:r w:rsidR="007E1F12">
        <w:br/>
        <w:t xml:space="preserve">Trading Standards made their television debut on New Zealand TV’s consumer issue programme ‘Fair Go’. </w:t>
      </w:r>
      <w:r w:rsidR="0041651A">
        <w:t xml:space="preserve"> </w:t>
      </w:r>
      <w:r w:rsidR="007E1F12">
        <w:t>The purpose of the segment was to give viewers a brief overview of the type of work an Inspector would normally undertake during a typical working day.</w:t>
      </w:r>
      <w:r w:rsidR="0041651A">
        <w:t xml:space="preserve"> </w:t>
      </w:r>
      <w:r w:rsidR="007E1F12">
        <w:t xml:space="preserve"> Two officers were featured on the show and effectively demonstrated inspection work carried out at two retail sites in Wellington and in the TS primary laboratory in Auckland.</w:t>
      </w:r>
      <w:r w:rsidR="007E1F12">
        <w:br/>
      </w:r>
      <w:r w:rsidR="007E1F12">
        <w:br/>
        <w:t xml:space="preserve">The webpage for the show can be found following this link: </w:t>
      </w:r>
      <w:hyperlink r:id="rId14" w:history="1">
        <w:r w:rsidR="007E1F12" w:rsidRPr="00F55A3E">
          <w:rPr>
            <w:rStyle w:val="Hyperlink"/>
          </w:rPr>
          <w:t>https://www.tvnz.co.nz/shows/fair-go</w:t>
        </w:r>
      </w:hyperlink>
      <w:r w:rsidR="007E1F12">
        <w:t xml:space="preserve">  and a clip of the feature can be found here: </w:t>
      </w:r>
      <w:hyperlink r:id="rId15" w:history="1">
        <w:r w:rsidR="007E1F12" w:rsidRPr="00F55A3E">
          <w:rPr>
            <w:rStyle w:val="Hyperlink"/>
          </w:rPr>
          <w:t>https://www.tvnz.co.nz/shows/fair-go/clips/we-hit-the-streets-with-the-metrologists</w:t>
        </w:r>
      </w:hyperlink>
      <w:r w:rsidR="007E1F12">
        <w:t xml:space="preserve">.   </w:t>
      </w:r>
      <w:r w:rsidR="008E67C1">
        <w:br w:type="page"/>
      </w:r>
    </w:p>
    <w:p w:rsidR="00F05746" w:rsidRDefault="00F05746" w:rsidP="008E67C1">
      <w:pPr>
        <w:pStyle w:val="Heading1"/>
      </w:pPr>
      <w:r w:rsidRPr="00A528FE">
        <w:t>S</w:t>
      </w:r>
      <w:r w:rsidR="008E67C1">
        <w:t xml:space="preserve">ECTION </w:t>
      </w:r>
      <w:r w:rsidRPr="00A528FE">
        <w:t>3</w:t>
      </w:r>
      <w:r w:rsidR="00A528FE" w:rsidRPr="00A528FE">
        <w:t xml:space="preserve"> – F</w:t>
      </w:r>
      <w:r w:rsidR="008E67C1">
        <w:t xml:space="preserve">uture focus </w:t>
      </w:r>
    </w:p>
    <w:p w:rsidR="00F05746" w:rsidRDefault="00F05746" w:rsidP="00F05746"/>
    <w:tbl>
      <w:tblPr>
        <w:tblStyle w:val="TableGrid"/>
        <w:tblW w:w="0" w:type="auto"/>
        <w:shd w:val="clear" w:color="auto" w:fill="FBD4B4" w:themeFill="accent6" w:themeFillTint="66"/>
        <w:tblLook w:val="04A0" w:firstRow="1" w:lastRow="0" w:firstColumn="1" w:lastColumn="0" w:noHBand="0" w:noVBand="1"/>
      </w:tblPr>
      <w:tblGrid>
        <w:gridCol w:w="9242"/>
      </w:tblGrid>
      <w:tr w:rsidR="002957EB" w:rsidTr="002957EB">
        <w:tc>
          <w:tcPr>
            <w:tcW w:w="9242" w:type="dxa"/>
            <w:tcBorders>
              <w:top w:val="nil"/>
              <w:left w:val="nil"/>
              <w:bottom w:val="nil"/>
              <w:right w:val="nil"/>
            </w:tcBorders>
            <w:shd w:val="clear" w:color="auto" w:fill="FBD4B4" w:themeFill="accent6" w:themeFillTint="66"/>
          </w:tcPr>
          <w:p w:rsidR="00B078D7" w:rsidRDefault="002957EB" w:rsidP="002957EB">
            <w:pPr>
              <w:spacing w:after="60" w:line="252" w:lineRule="auto"/>
              <w:rPr>
                <w:i/>
                <w:sz w:val="20"/>
              </w:rPr>
            </w:pPr>
            <w:r>
              <w:rPr>
                <w:i/>
                <w:sz w:val="20"/>
              </w:rPr>
              <w:t xml:space="preserve">Outline what issues or activities </w:t>
            </w:r>
            <w:r w:rsidR="00B078D7">
              <w:rPr>
                <w:i/>
                <w:sz w:val="20"/>
              </w:rPr>
              <w:t>are on the horizo</w:t>
            </w:r>
            <w:r w:rsidR="00EA5191">
              <w:rPr>
                <w:i/>
                <w:sz w:val="20"/>
              </w:rPr>
              <w:t>n for your economy, for example:</w:t>
            </w:r>
          </w:p>
          <w:p w:rsidR="00B078D7" w:rsidRPr="00B078D7" w:rsidRDefault="00B078D7" w:rsidP="00B078D7">
            <w:pPr>
              <w:pStyle w:val="ListParagraph"/>
              <w:numPr>
                <w:ilvl w:val="0"/>
                <w:numId w:val="13"/>
              </w:numPr>
              <w:spacing w:after="60" w:line="252" w:lineRule="auto"/>
              <w:rPr>
                <w:i/>
                <w:sz w:val="20"/>
              </w:rPr>
            </w:pPr>
            <w:r w:rsidRPr="00B078D7">
              <w:rPr>
                <w:i/>
                <w:sz w:val="20"/>
              </w:rPr>
              <w:t xml:space="preserve">legislation in the pipeline or </w:t>
            </w:r>
            <w:r>
              <w:rPr>
                <w:i/>
                <w:sz w:val="20"/>
              </w:rPr>
              <w:t>in early stages of development</w:t>
            </w:r>
          </w:p>
          <w:p w:rsidR="00B078D7" w:rsidRDefault="00B078D7" w:rsidP="00B078D7">
            <w:pPr>
              <w:pStyle w:val="ListParagraph"/>
              <w:numPr>
                <w:ilvl w:val="0"/>
                <w:numId w:val="13"/>
              </w:numPr>
              <w:spacing w:after="60" w:line="252" w:lineRule="auto"/>
              <w:rPr>
                <w:i/>
                <w:sz w:val="20"/>
              </w:rPr>
            </w:pPr>
            <w:r w:rsidRPr="00B078D7">
              <w:rPr>
                <w:i/>
                <w:sz w:val="20"/>
              </w:rPr>
              <w:t>major engagement or collaboration with industry</w:t>
            </w:r>
            <w:r>
              <w:rPr>
                <w:i/>
                <w:sz w:val="20"/>
              </w:rPr>
              <w:t xml:space="preserve">, </w:t>
            </w:r>
            <w:r w:rsidR="00EA5191">
              <w:rPr>
                <w:i/>
                <w:sz w:val="20"/>
              </w:rPr>
              <w:t xml:space="preserve">or other economies or organisations </w:t>
            </w:r>
          </w:p>
          <w:p w:rsidR="002957EB" w:rsidRDefault="00B078D7" w:rsidP="00B078D7">
            <w:pPr>
              <w:pStyle w:val="ListParagraph"/>
              <w:numPr>
                <w:ilvl w:val="0"/>
                <w:numId w:val="13"/>
              </w:numPr>
              <w:spacing w:after="60" w:line="252" w:lineRule="auto"/>
              <w:rPr>
                <w:i/>
                <w:sz w:val="20"/>
              </w:rPr>
            </w:pPr>
            <w:r>
              <w:rPr>
                <w:i/>
                <w:sz w:val="20"/>
              </w:rPr>
              <w:t xml:space="preserve">specific focus on improving capability in industry or organisation </w:t>
            </w:r>
          </w:p>
          <w:p w:rsidR="00B078D7" w:rsidRDefault="00B078D7" w:rsidP="00B078D7">
            <w:pPr>
              <w:pStyle w:val="ListParagraph"/>
              <w:numPr>
                <w:ilvl w:val="0"/>
                <w:numId w:val="13"/>
              </w:numPr>
              <w:spacing w:after="60" w:line="252" w:lineRule="auto"/>
              <w:rPr>
                <w:i/>
                <w:sz w:val="20"/>
              </w:rPr>
            </w:pPr>
            <w:r>
              <w:rPr>
                <w:i/>
                <w:sz w:val="20"/>
              </w:rPr>
              <w:t xml:space="preserve">new safety requirements that may impact on industry, consumers or trade </w:t>
            </w:r>
          </w:p>
          <w:p w:rsidR="00B078D7" w:rsidRPr="00B078D7" w:rsidRDefault="00B078D7" w:rsidP="00B078D7">
            <w:pPr>
              <w:pStyle w:val="ListParagraph"/>
              <w:numPr>
                <w:ilvl w:val="0"/>
                <w:numId w:val="13"/>
              </w:numPr>
              <w:spacing w:after="60" w:line="252" w:lineRule="auto"/>
              <w:rPr>
                <w:i/>
                <w:sz w:val="20"/>
              </w:rPr>
            </w:pPr>
            <w:proofErr w:type="gramStart"/>
            <w:r>
              <w:rPr>
                <w:i/>
                <w:sz w:val="20"/>
              </w:rPr>
              <w:t>new</w:t>
            </w:r>
            <w:proofErr w:type="gramEnd"/>
            <w:r w:rsidR="003F5AB3">
              <w:rPr>
                <w:i/>
                <w:sz w:val="20"/>
              </w:rPr>
              <w:t xml:space="preserve"> </w:t>
            </w:r>
            <w:r>
              <w:rPr>
                <w:i/>
                <w:sz w:val="20"/>
              </w:rPr>
              <w:t>testing regimes to be introduced</w:t>
            </w:r>
            <w:r w:rsidR="003958B8">
              <w:rPr>
                <w:i/>
                <w:sz w:val="20"/>
              </w:rPr>
              <w:t>.</w:t>
            </w:r>
            <w:r>
              <w:rPr>
                <w:i/>
                <w:sz w:val="20"/>
              </w:rPr>
              <w:t xml:space="preserve"> </w:t>
            </w:r>
          </w:p>
          <w:p w:rsidR="002957EB" w:rsidRDefault="00333437" w:rsidP="002957EB">
            <w:pPr>
              <w:spacing w:after="60" w:line="252" w:lineRule="auto"/>
              <w:rPr>
                <w:i/>
                <w:sz w:val="20"/>
              </w:rPr>
            </w:pPr>
            <w:r>
              <w:rPr>
                <w:i/>
                <w:sz w:val="20"/>
              </w:rPr>
              <w:t>Outline any emerging issues that you think could be challenging</w:t>
            </w:r>
            <w:r w:rsidR="003958B8">
              <w:rPr>
                <w:i/>
                <w:sz w:val="20"/>
              </w:rPr>
              <w:t>,</w:t>
            </w:r>
            <w:r>
              <w:rPr>
                <w:i/>
                <w:sz w:val="20"/>
              </w:rPr>
              <w:t xml:space="preserve"> or require new structures</w:t>
            </w:r>
            <w:r w:rsidR="003958B8">
              <w:rPr>
                <w:i/>
                <w:sz w:val="20"/>
              </w:rPr>
              <w:t>, additional</w:t>
            </w:r>
            <w:r>
              <w:rPr>
                <w:i/>
                <w:sz w:val="20"/>
              </w:rPr>
              <w:t xml:space="preserve"> funding, research etc.  Th</w:t>
            </w:r>
            <w:r w:rsidR="003958B8">
              <w:rPr>
                <w:i/>
                <w:sz w:val="20"/>
              </w:rPr>
              <w:t>ese issues could</w:t>
            </w:r>
            <w:r>
              <w:rPr>
                <w:i/>
                <w:sz w:val="20"/>
              </w:rPr>
              <w:t xml:space="preserve"> be emerging areas of concern relating to new technologie</w:t>
            </w:r>
            <w:r w:rsidR="003958B8">
              <w:rPr>
                <w:i/>
                <w:sz w:val="20"/>
              </w:rPr>
              <w:t xml:space="preserve">s or </w:t>
            </w:r>
            <w:r>
              <w:rPr>
                <w:i/>
                <w:sz w:val="20"/>
              </w:rPr>
              <w:t>new practices</w:t>
            </w:r>
            <w:r w:rsidR="003958B8">
              <w:rPr>
                <w:i/>
                <w:sz w:val="20"/>
              </w:rPr>
              <w:t>/</w:t>
            </w:r>
            <w:r>
              <w:rPr>
                <w:i/>
                <w:sz w:val="20"/>
              </w:rPr>
              <w:t xml:space="preserve"> products that are not currently monitored, or emerging public pressure in your economy for greater enforcement in particular areas (e</w:t>
            </w:r>
            <w:r w:rsidR="00C34A62">
              <w:rPr>
                <w:i/>
                <w:sz w:val="20"/>
              </w:rPr>
              <w:t>.</w:t>
            </w:r>
            <w:r>
              <w:rPr>
                <w:i/>
                <w:sz w:val="20"/>
              </w:rPr>
              <w:t>g</w:t>
            </w:r>
            <w:r w:rsidR="00C34A62">
              <w:rPr>
                <w:i/>
                <w:sz w:val="20"/>
              </w:rPr>
              <w:t>.</w:t>
            </w:r>
            <w:r>
              <w:rPr>
                <w:i/>
                <w:sz w:val="20"/>
              </w:rPr>
              <w:t xml:space="preserve"> food or product safety concerns).  It would be helpful to </w:t>
            </w:r>
            <w:r w:rsidR="003958B8">
              <w:rPr>
                <w:i/>
                <w:sz w:val="20"/>
              </w:rPr>
              <w:t xml:space="preserve">outline </w:t>
            </w:r>
            <w:r>
              <w:rPr>
                <w:i/>
                <w:sz w:val="20"/>
              </w:rPr>
              <w:t>where you think international cooperation and collaboration with APLMF could assist in addressing these challenges and issues.</w:t>
            </w:r>
          </w:p>
          <w:p w:rsidR="002957EB" w:rsidRPr="00333437" w:rsidRDefault="00333437" w:rsidP="00333437">
            <w:pPr>
              <w:tabs>
                <w:tab w:val="left" w:pos="2780"/>
              </w:tabs>
              <w:spacing w:before="120" w:after="120" w:line="252" w:lineRule="auto"/>
              <w:rPr>
                <w:b/>
                <w:i/>
                <w:sz w:val="20"/>
              </w:rPr>
            </w:pPr>
            <w:r w:rsidRPr="00333437">
              <w:rPr>
                <w:b/>
                <w:i/>
                <w:sz w:val="20"/>
              </w:rPr>
              <w:t>Suggested length (1-3 pages)</w:t>
            </w:r>
            <w:r>
              <w:rPr>
                <w:b/>
                <w:i/>
                <w:sz w:val="20"/>
              </w:rPr>
              <w:tab/>
            </w:r>
          </w:p>
        </w:tc>
      </w:tr>
    </w:tbl>
    <w:p w:rsidR="002957EB" w:rsidRDefault="002957EB" w:rsidP="00F05746"/>
    <w:p w:rsidR="00F05746" w:rsidRDefault="00F05746" w:rsidP="00B078D7">
      <w:pPr>
        <w:pStyle w:val="Heading2"/>
      </w:pPr>
      <w:r>
        <w:t>New initiatives</w:t>
      </w:r>
      <w:r w:rsidR="00333437">
        <w:t xml:space="preserve"> planned (next 1-2 years)</w:t>
      </w:r>
    </w:p>
    <w:p w:rsidR="00333437" w:rsidRDefault="00333437" w:rsidP="00333437"/>
    <w:p w:rsidR="00F14AE8" w:rsidRPr="00F14AE8" w:rsidRDefault="00F14AE8" w:rsidP="00F14AE8">
      <w:pPr>
        <w:rPr>
          <w:b/>
        </w:rPr>
      </w:pPr>
      <w:r w:rsidRPr="00F14AE8">
        <w:rPr>
          <w:b/>
        </w:rPr>
        <w:t>Seeking Certification to ISO 9001: 2015</w:t>
      </w:r>
    </w:p>
    <w:p w:rsidR="00F14AE8" w:rsidRDefault="00F14AE8" w:rsidP="00F14AE8"/>
    <w:p w:rsidR="00F14AE8" w:rsidRDefault="00F14AE8" w:rsidP="00F14AE8">
      <w:r>
        <w:t>In July 2015, Trading Standards obtained certification to the Quality Management System ISO</w:t>
      </w:r>
    </w:p>
    <w:p w:rsidR="00F14AE8" w:rsidRDefault="00F14AE8" w:rsidP="00F14AE8">
      <w:r>
        <w:t>9001:2008</w:t>
      </w:r>
      <w:proofErr w:type="gramStart"/>
      <w:r>
        <w:t xml:space="preserve">. </w:t>
      </w:r>
      <w:r w:rsidR="0041651A">
        <w:t xml:space="preserve"> </w:t>
      </w:r>
      <w:r>
        <w:t>As</w:t>
      </w:r>
      <w:proofErr w:type="gramEnd"/>
      <w:r>
        <w:t xml:space="preserve"> a result MBIE’s Consumer Protection and Standards branch was impressed by the benefits it had provided and a branch wide certification has now been attained.</w:t>
      </w:r>
    </w:p>
    <w:p w:rsidR="00F14AE8" w:rsidRDefault="00F14AE8" w:rsidP="00F14AE8"/>
    <w:p w:rsidR="00F14AE8" w:rsidRDefault="00F14AE8" w:rsidP="00F14AE8">
      <w:r>
        <w:t xml:space="preserve">With the recent release of the revised Quality Management System, ISO 9001: 2015, </w:t>
      </w:r>
      <w:proofErr w:type="gramStart"/>
      <w:r>
        <w:t>Trading</w:t>
      </w:r>
      <w:proofErr w:type="gramEnd"/>
    </w:p>
    <w:p w:rsidR="00F14AE8" w:rsidRDefault="00F14AE8" w:rsidP="00F14AE8">
      <w:proofErr w:type="gramStart"/>
      <w:r>
        <w:t>Standards is</w:t>
      </w:r>
      <w:proofErr w:type="gramEnd"/>
      <w:r>
        <w:t xml:space="preserve"> in the process of updating its system to reflect the new requirements to include the following functions:</w:t>
      </w:r>
    </w:p>
    <w:p w:rsidR="00F14AE8" w:rsidRDefault="00F14AE8" w:rsidP="00F14AE8"/>
    <w:p w:rsidR="00F14AE8" w:rsidRDefault="00F14AE8" w:rsidP="00F14AE8">
      <w:r>
        <w:t>•Trading Standards ISO 17025 mass standards Laboratory</w:t>
      </w:r>
    </w:p>
    <w:p w:rsidR="00F14AE8" w:rsidRDefault="00F14AE8" w:rsidP="00F14AE8">
      <w:r>
        <w:t>•Standards New Zealand</w:t>
      </w:r>
    </w:p>
    <w:p w:rsidR="00F14AE8" w:rsidRDefault="00F14AE8" w:rsidP="00F14AE8">
      <w:r>
        <w:t>•Consumer Protection</w:t>
      </w:r>
    </w:p>
    <w:p w:rsidR="00F14AE8" w:rsidRDefault="00F14AE8" w:rsidP="00F14AE8">
      <w:r>
        <w:t>•Occupational Licensing</w:t>
      </w:r>
    </w:p>
    <w:p w:rsidR="00333437" w:rsidRDefault="00F14AE8" w:rsidP="00F14AE8">
      <w:r>
        <w:t>•Radio Spectrum</w:t>
      </w:r>
    </w:p>
    <w:p w:rsidR="00333437" w:rsidRDefault="00333437" w:rsidP="00333437"/>
    <w:p w:rsidR="00F14AE8" w:rsidRPr="00F14AE8" w:rsidRDefault="00F14AE8" w:rsidP="00F14AE8">
      <w:pPr>
        <w:rPr>
          <w:b/>
        </w:rPr>
      </w:pPr>
      <w:r>
        <w:rPr>
          <w:b/>
        </w:rPr>
        <w:br/>
      </w:r>
      <w:r w:rsidRPr="00F14AE8">
        <w:rPr>
          <w:b/>
        </w:rPr>
        <w:t>Unstamped Weighing Instruments</w:t>
      </w:r>
    </w:p>
    <w:p w:rsidR="00F14AE8" w:rsidRDefault="00F14AE8" w:rsidP="00F14AE8"/>
    <w:p w:rsidR="00F14AE8" w:rsidRDefault="00F14AE8" w:rsidP="00F14AE8">
      <w:r>
        <w:t>Inspections conducted at local markets revealed that a number of stall holders were using non approved price computing weighing instruments, which they had purchased via various Internet sites.</w:t>
      </w:r>
      <w:r w:rsidR="0041651A">
        <w:t xml:space="preserve"> </w:t>
      </w:r>
      <w:r>
        <w:t xml:space="preserve"> Upon inspection of the Internet sites and the advertisements for the weighing instruments, </w:t>
      </w:r>
      <w:r w:rsidR="0041651A">
        <w:t>non-compliances</w:t>
      </w:r>
      <w:r>
        <w:t xml:space="preserve"> have been discovered. </w:t>
      </w:r>
      <w:r w:rsidR="0041651A">
        <w:t xml:space="preserve"> </w:t>
      </w:r>
      <w:r>
        <w:t>As a result a project will be conducted by TS to minimise the distribution of these types of instruments.</w:t>
      </w:r>
    </w:p>
    <w:p w:rsidR="00F14AE8" w:rsidRDefault="00F14AE8" w:rsidP="00F14AE8"/>
    <w:p w:rsidR="00F14AE8" w:rsidRDefault="00F14AE8" w:rsidP="00F14AE8">
      <w:r>
        <w:t>It is envisaged that legislative change may be required to specifically make sale of these items illegal.</w:t>
      </w:r>
    </w:p>
    <w:p w:rsidR="00F14AE8" w:rsidRDefault="00F14AE8" w:rsidP="00F14AE8"/>
    <w:p w:rsidR="00F14AE8" w:rsidRDefault="00F14AE8" w:rsidP="00F14AE8"/>
    <w:p w:rsidR="00F14AE8" w:rsidRPr="00F14AE8" w:rsidRDefault="00F14AE8" w:rsidP="00F14AE8">
      <w:pPr>
        <w:rPr>
          <w:b/>
        </w:rPr>
      </w:pPr>
      <w:r w:rsidRPr="00F14AE8">
        <w:rPr>
          <w:b/>
        </w:rPr>
        <w:t>Electronic Cigarettes</w:t>
      </w:r>
    </w:p>
    <w:p w:rsidR="00F14AE8" w:rsidRDefault="00F14AE8" w:rsidP="00F14AE8"/>
    <w:p w:rsidR="00F14AE8" w:rsidRDefault="00F14AE8" w:rsidP="00F14AE8">
      <w:r>
        <w:t xml:space="preserve">The Electronic Cigarette industry in New Zealand is growing rapidly. In recent years both the UK and US Markets have shown significant growth in this sector, which has pre-empted New Zealand Trading Standards to take a proactive approach to ensure this emerging industry is compliant with legal metrology requirements. </w:t>
      </w:r>
      <w:r w:rsidR="0041651A">
        <w:t xml:space="preserve"> </w:t>
      </w:r>
      <w:r>
        <w:t>To date a number of test purchases have been completed and revealed a number of short measure and labelling non compliances.</w:t>
      </w:r>
      <w:r w:rsidR="0041651A">
        <w:t xml:space="preserve"> </w:t>
      </w:r>
      <w:r>
        <w:t xml:space="preserve"> As a result, a nationwide project is in the process of being planned to tackle the issue head on.</w:t>
      </w:r>
    </w:p>
    <w:p w:rsidR="00F14AE8" w:rsidRDefault="00F14AE8" w:rsidP="00F14AE8"/>
    <w:p w:rsidR="00333437" w:rsidRDefault="00F14AE8" w:rsidP="00F14AE8">
      <w:r>
        <w:t xml:space="preserve">Furthermore this industry has significant implications for other enforcement agencies in New Zealand, i.e. Ministry of Health, NZ Customs Service and NZ Police </w:t>
      </w:r>
      <w:proofErr w:type="spellStart"/>
      <w:r>
        <w:t>etc</w:t>
      </w:r>
      <w:proofErr w:type="spellEnd"/>
      <w:r>
        <w:t>, and TS are seeking to work collaboratively with them to help ensure the industry is regulated effectively.</w:t>
      </w:r>
    </w:p>
    <w:p w:rsidR="00333437" w:rsidRDefault="00333437" w:rsidP="00333437"/>
    <w:p w:rsidR="00333437" w:rsidRDefault="00333437" w:rsidP="00333437"/>
    <w:p w:rsidR="00333437" w:rsidRDefault="00333437" w:rsidP="00333437"/>
    <w:p w:rsidR="00333437" w:rsidRDefault="00333437" w:rsidP="00333437"/>
    <w:p w:rsidR="00F05746" w:rsidRDefault="00F05746" w:rsidP="00B078D7">
      <w:pPr>
        <w:pStyle w:val="Heading2"/>
      </w:pPr>
      <w:r>
        <w:t>Emerging issues</w:t>
      </w:r>
      <w:r w:rsidR="00333437">
        <w:t xml:space="preserve"> – challenges and opportunities </w:t>
      </w:r>
    </w:p>
    <w:p w:rsidR="00F05746" w:rsidRDefault="00F05746" w:rsidP="00333437"/>
    <w:p w:rsidR="00F14AE8" w:rsidRPr="00F14AE8" w:rsidRDefault="00F14AE8" w:rsidP="00F14AE8">
      <w:pPr>
        <w:rPr>
          <w:b/>
        </w:rPr>
      </w:pPr>
      <w:r w:rsidRPr="00F14AE8">
        <w:rPr>
          <w:b/>
        </w:rPr>
        <w:t>Incorporating updates to OIML documents into NZ legislation</w:t>
      </w:r>
    </w:p>
    <w:p w:rsidR="00F14AE8" w:rsidRDefault="00F14AE8" w:rsidP="00F14AE8"/>
    <w:p w:rsidR="00F14AE8" w:rsidRDefault="00F14AE8" w:rsidP="00F14AE8">
      <w:r>
        <w:t>The following two documents have been revised and approved by OIML</w:t>
      </w:r>
    </w:p>
    <w:p w:rsidR="00F14AE8" w:rsidRDefault="00F14AE8" w:rsidP="00F14AE8"/>
    <w:p w:rsidR="00F14AE8" w:rsidRDefault="00F14AE8" w:rsidP="00F14AE8">
      <w:r>
        <w:t>•OIML 79 - Labelling requirements for prepackages</w:t>
      </w:r>
    </w:p>
    <w:p w:rsidR="00F14AE8" w:rsidRDefault="00F14AE8" w:rsidP="00F14AE8">
      <w:r>
        <w:t>•OIML R87 - Quantity of product in prepackages</w:t>
      </w:r>
    </w:p>
    <w:p w:rsidR="00F14AE8" w:rsidRDefault="00F14AE8" w:rsidP="00F14AE8"/>
    <w:p w:rsidR="00F14AE8" w:rsidRDefault="00F14AE8" w:rsidP="00F14AE8">
      <w:r>
        <w:t>Trading Standards intends to review the weights and measures legislation to incorporate the new requirements.</w:t>
      </w:r>
    </w:p>
    <w:p w:rsidR="00F14AE8" w:rsidRDefault="00F14AE8" w:rsidP="00F14AE8"/>
    <w:p w:rsidR="00F14AE8" w:rsidRDefault="00F14AE8" w:rsidP="00F14AE8"/>
    <w:p w:rsidR="00F14AE8" w:rsidRPr="00F14AE8" w:rsidRDefault="00F14AE8" w:rsidP="00F14AE8">
      <w:pPr>
        <w:rPr>
          <w:b/>
        </w:rPr>
      </w:pPr>
      <w:r w:rsidRPr="00F14AE8">
        <w:rPr>
          <w:b/>
        </w:rPr>
        <w:t>Certification system for prepackages</w:t>
      </w:r>
    </w:p>
    <w:p w:rsidR="00F14AE8" w:rsidRDefault="00F14AE8" w:rsidP="00F14AE8"/>
    <w:p w:rsidR="00333437" w:rsidRDefault="00F14AE8" w:rsidP="00F14AE8">
      <w:r>
        <w:t>Trading Standards will also consider the introduction of a package goods certification system once the ‘Guidance for defining the system requirements for a certification system for prepackages’ has been approved.</w:t>
      </w:r>
    </w:p>
    <w:p w:rsidR="00333437" w:rsidRDefault="00333437" w:rsidP="00333437"/>
    <w:p w:rsidR="00333437" w:rsidRDefault="00333437" w:rsidP="00333437"/>
    <w:p w:rsidR="00333437" w:rsidRDefault="00333437" w:rsidP="00333437"/>
    <w:p w:rsidR="00333437" w:rsidRDefault="00333437" w:rsidP="00333437"/>
    <w:p w:rsidR="00333437" w:rsidRDefault="00333437" w:rsidP="00333437"/>
    <w:p w:rsidR="00333437" w:rsidRDefault="00333437" w:rsidP="00333437"/>
    <w:p w:rsidR="00333437" w:rsidRDefault="00333437" w:rsidP="00333437"/>
    <w:sectPr w:rsidR="00333437" w:rsidSect="00DD1F87">
      <w:headerReference w:type="default" r:id="rId16"/>
      <w:headerReference w:type="first" r:id="rId17"/>
      <w:pgSz w:w="11906" w:h="16838"/>
      <w:pgMar w:top="156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34" w:rsidRDefault="00534D34" w:rsidP="00765680">
      <w:r>
        <w:separator/>
      </w:r>
    </w:p>
  </w:endnote>
  <w:endnote w:type="continuationSeparator" w:id="0">
    <w:p w:rsidR="00534D34" w:rsidRDefault="00534D34" w:rsidP="0076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34" w:rsidRDefault="00534D34" w:rsidP="00765680">
      <w:r>
        <w:separator/>
      </w:r>
    </w:p>
  </w:footnote>
  <w:footnote w:type="continuationSeparator" w:id="0">
    <w:p w:rsidR="00534D34" w:rsidRDefault="00534D34" w:rsidP="0076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8" w:rsidRPr="00A32DEE" w:rsidRDefault="00F14AE8">
    <w:pPr>
      <w:pStyle w:val="Header"/>
    </w:pPr>
    <w:r>
      <w:rPr>
        <w:noProof/>
        <w:lang w:eastAsia="en-NZ"/>
      </w:rPr>
      <w:t xml:space="preserve">Economy Report – </w:t>
    </w:r>
    <w:r w:rsidR="003A2EAF">
      <w:rPr>
        <w:noProof/>
        <w:lang w:eastAsia="en-NZ"/>
      </w:rPr>
      <w:t>New Zealand</w:t>
    </w:r>
    <w:r>
      <w:rPr>
        <w:i/>
        <w:noProof/>
        <w:lang w:eastAsia="en-NZ"/>
      </w:rPr>
      <w:tab/>
    </w:r>
    <w:r>
      <w:rPr>
        <w:i/>
        <w:noProof/>
        <w:lang w:eastAsia="en-NZ"/>
      </w:rPr>
      <w:tab/>
    </w:r>
    <w:r w:rsidRPr="00A32DEE">
      <w:rPr>
        <w:noProof/>
        <w:lang w:eastAsia="en-NZ"/>
      </w:rPr>
      <w:t xml:space="preserve">Page | </w:t>
    </w:r>
    <w:r w:rsidRPr="00A32DEE">
      <w:rPr>
        <w:noProof/>
        <w:lang w:eastAsia="en-NZ"/>
      </w:rPr>
      <w:fldChar w:fldCharType="begin"/>
    </w:r>
    <w:r w:rsidRPr="00A32DEE">
      <w:rPr>
        <w:noProof/>
        <w:lang w:eastAsia="en-NZ"/>
      </w:rPr>
      <w:instrText xml:space="preserve"> PAGE   \* MERGEFORMAT </w:instrText>
    </w:r>
    <w:r w:rsidRPr="00A32DEE">
      <w:rPr>
        <w:noProof/>
        <w:lang w:eastAsia="en-NZ"/>
      </w:rPr>
      <w:fldChar w:fldCharType="separate"/>
    </w:r>
    <w:r w:rsidR="003A1804">
      <w:rPr>
        <w:noProof/>
        <w:lang w:eastAsia="en-NZ"/>
      </w:rPr>
      <w:t>2</w:t>
    </w:r>
    <w:r w:rsidRPr="00A32DEE">
      <w:rPr>
        <w:noProof/>
        <w:lang w:eastAsia="en-N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E8" w:rsidRDefault="00F14AE8">
    <w:pPr>
      <w:pStyle w:val="Header"/>
    </w:pPr>
    <w:r w:rsidRPr="00A32DEE">
      <w:rPr>
        <w:noProof/>
        <w:lang w:eastAsia="en-NZ"/>
      </w:rPr>
      <mc:AlternateContent>
        <mc:Choice Requires="wps">
          <w:drawing>
            <wp:anchor distT="0" distB="0" distL="114300" distR="114300" simplePos="0" relativeHeight="251662336" behindDoc="0" locked="0" layoutInCell="1" allowOverlap="1" wp14:anchorId="1EA8D499" wp14:editId="4DF0AD13">
              <wp:simplePos x="0" y="0"/>
              <wp:positionH relativeFrom="column">
                <wp:posOffset>4456430</wp:posOffset>
              </wp:positionH>
              <wp:positionV relativeFrom="paragraph">
                <wp:posOffset>-134924</wp:posOffset>
              </wp:positionV>
              <wp:extent cx="207645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AE8" w:rsidRPr="00AF1A45" w:rsidRDefault="00F14AE8" w:rsidP="00A32DEE">
                          <w:pPr>
                            <w:rPr>
                              <w:rFonts w:ascii="Franklin Gothic Demi Cond" w:hAnsi="Franklin Gothic Demi Cond"/>
                              <w:color w:val="173E49"/>
                              <w:sz w:val="36"/>
                            </w:rPr>
                          </w:pPr>
                          <w:r>
                            <w:rPr>
                              <w:rFonts w:ascii="Franklin Gothic Demi Cond" w:hAnsi="Franklin Gothic Demi Cond"/>
                              <w:color w:val="173E49"/>
                              <w:sz w:val="36"/>
                            </w:rPr>
                            <w:t>24</w:t>
                          </w:r>
                          <w:r w:rsidR="003A2EAF" w:rsidRPr="003A2EAF">
                            <w:rPr>
                              <w:rFonts w:ascii="Franklin Gothic Demi Cond" w:hAnsi="Franklin Gothic Demi Cond"/>
                              <w:color w:val="173E49"/>
                              <w:sz w:val="36"/>
                              <w:vertAlign w:val="superscript"/>
                            </w:rPr>
                            <w:t>th</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9pt;margin-top:-10.6pt;width:16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2igIAAIw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" fillcolor="white [3201]" stroked="f" strokeweight=".5pt">
              <v:textbox>
                <w:txbxContent>
                  <w:p w:rsidR="00F14AE8" w:rsidRPr="00AF1A45" w:rsidRDefault="00F14AE8" w:rsidP="00A32DEE">
                    <w:pPr>
                      <w:rPr>
                        <w:rFonts w:ascii="Franklin Gothic Demi Cond" w:hAnsi="Franklin Gothic Demi Cond"/>
                        <w:color w:val="173E49"/>
                        <w:sz w:val="36"/>
                      </w:rPr>
                    </w:pPr>
                    <w:r>
                      <w:rPr>
                        <w:rFonts w:ascii="Franklin Gothic Demi Cond" w:hAnsi="Franklin Gothic Demi Cond"/>
                        <w:color w:val="173E49"/>
                        <w:sz w:val="36"/>
                      </w:rPr>
                      <w:t>24</w:t>
                    </w:r>
                    <w:r w:rsidR="003A2EAF" w:rsidRPr="003A2EAF">
                      <w:rPr>
                        <w:rFonts w:ascii="Franklin Gothic Demi Cond" w:hAnsi="Franklin Gothic Demi Cond"/>
                        <w:color w:val="173E49"/>
                        <w:sz w:val="36"/>
                        <w:vertAlign w:val="superscript"/>
                      </w:rPr>
                      <w:t>th</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v:textbox>
            </v:shape>
          </w:pict>
        </mc:Fallback>
      </mc:AlternateContent>
    </w:r>
    <w:r w:rsidRPr="00A32DEE">
      <w:rPr>
        <w:noProof/>
        <w:lang w:eastAsia="en-NZ"/>
      </w:rPr>
      <w:drawing>
        <wp:anchor distT="0" distB="0" distL="114300" distR="114300" simplePos="0" relativeHeight="251661312" behindDoc="1" locked="0" layoutInCell="1" allowOverlap="1" wp14:anchorId="252C9449" wp14:editId="3A417AF4">
          <wp:simplePos x="0" y="0"/>
          <wp:positionH relativeFrom="column">
            <wp:posOffset>-727075</wp:posOffset>
          </wp:positionH>
          <wp:positionV relativeFrom="paragraph">
            <wp:posOffset>-287020</wp:posOffset>
          </wp:positionV>
          <wp:extent cx="3114675" cy="1181100"/>
          <wp:effectExtent l="0" t="0" r="9525" b="0"/>
          <wp:wrapThrough wrapText="bothSides">
            <wp:wrapPolygon edited="0">
              <wp:start x="0" y="0"/>
              <wp:lineTo x="0" y="21252"/>
              <wp:lineTo x="21534" y="21252"/>
              <wp:lineTo x="215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2AF"/>
    <w:multiLevelType w:val="hybridMultilevel"/>
    <w:tmpl w:val="79FC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D84092"/>
    <w:multiLevelType w:val="hybridMultilevel"/>
    <w:tmpl w:val="A68CB1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22401C62"/>
    <w:multiLevelType w:val="hybridMultilevel"/>
    <w:tmpl w:val="32380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C84C22"/>
    <w:multiLevelType w:val="hybridMultilevel"/>
    <w:tmpl w:val="FD544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3F15DD5"/>
    <w:multiLevelType w:val="hybridMultilevel"/>
    <w:tmpl w:val="E350F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9262183"/>
    <w:multiLevelType w:val="hybridMultilevel"/>
    <w:tmpl w:val="55ECD9E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nsid w:val="3D29041F"/>
    <w:multiLevelType w:val="hybridMultilevel"/>
    <w:tmpl w:val="A558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0C307F"/>
    <w:multiLevelType w:val="hybridMultilevel"/>
    <w:tmpl w:val="8BAE26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nsid w:val="49190204"/>
    <w:multiLevelType w:val="hybridMultilevel"/>
    <w:tmpl w:val="61E6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9EF6B14"/>
    <w:multiLevelType w:val="hybridMultilevel"/>
    <w:tmpl w:val="741A8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C82049"/>
    <w:multiLevelType w:val="hybridMultilevel"/>
    <w:tmpl w:val="77E2B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03A2D6B"/>
    <w:multiLevelType w:val="hybridMultilevel"/>
    <w:tmpl w:val="1BDE7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9"/>
  </w:num>
  <w:num w:numId="7">
    <w:abstractNumId w:val="11"/>
  </w:num>
  <w:num w:numId="8">
    <w:abstractNumId w:val="6"/>
  </w:num>
  <w:num w:numId="9">
    <w:abstractNumId w:val="4"/>
  </w:num>
  <w:num w:numId="10">
    <w:abstractNumId w:val="7"/>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0"/>
    <w:rsid w:val="00001266"/>
    <w:rsid w:val="00001E22"/>
    <w:rsid w:val="000044B9"/>
    <w:rsid w:val="0000592D"/>
    <w:rsid w:val="000116C3"/>
    <w:rsid w:val="00011E6E"/>
    <w:rsid w:val="00023832"/>
    <w:rsid w:val="00032333"/>
    <w:rsid w:val="00040B34"/>
    <w:rsid w:val="00042C9E"/>
    <w:rsid w:val="00044BE5"/>
    <w:rsid w:val="00045CBF"/>
    <w:rsid w:val="00045FF5"/>
    <w:rsid w:val="000466F3"/>
    <w:rsid w:val="00047582"/>
    <w:rsid w:val="000519DF"/>
    <w:rsid w:val="000532B6"/>
    <w:rsid w:val="00053D12"/>
    <w:rsid w:val="0005408C"/>
    <w:rsid w:val="000642AC"/>
    <w:rsid w:val="00064C44"/>
    <w:rsid w:val="00067EBA"/>
    <w:rsid w:val="00070BB7"/>
    <w:rsid w:val="00072949"/>
    <w:rsid w:val="00072DCA"/>
    <w:rsid w:val="00074515"/>
    <w:rsid w:val="000800B5"/>
    <w:rsid w:val="00080326"/>
    <w:rsid w:val="00081603"/>
    <w:rsid w:val="00083169"/>
    <w:rsid w:val="0008553D"/>
    <w:rsid w:val="0008782E"/>
    <w:rsid w:val="000908D0"/>
    <w:rsid w:val="0009288C"/>
    <w:rsid w:val="000928D9"/>
    <w:rsid w:val="00094E76"/>
    <w:rsid w:val="0009543F"/>
    <w:rsid w:val="000973EF"/>
    <w:rsid w:val="000A0FEC"/>
    <w:rsid w:val="000A107F"/>
    <w:rsid w:val="000A19A1"/>
    <w:rsid w:val="000A1E67"/>
    <w:rsid w:val="000A3E18"/>
    <w:rsid w:val="000A3EAE"/>
    <w:rsid w:val="000A4B81"/>
    <w:rsid w:val="000A6EA1"/>
    <w:rsid w:val="000A7158"/>
    <w:rsid w:val="000A7815"/>
    <w:rsid w:val="000B03D6"/>
    <w:rsid w:val="000B28F1"/>
    <w:rsid w:val="000B38FE"/>
    <w:rsid w:val="000B6550"/>
    <w:rsid w:val="000C26EE"/>
    <w:rsid w:val="000C499D"/>
    <w:rsid w:val="000C7194"/>
    <w:rsid w:val="000C7EC1"/>
    <w:rsid w:val="000D0259"/>
    <w:rsid w:val="000D3021"/>
    <w:rsid w:val="000D5461"/>
    <w:rsid w:val="000D74DB"/>
    <w:rsid w:val="000E34B2"/>
    <w:rsid w:val="000E4F1D"/>
    <w:rsid w:val="000E56DA"/>
    <w:rsid w:val="000F0168"/>
    <w:rsid w:val="00102577"/>
    <w:rsid w:val="00107301"/>
    <w:rsid w:val="00107543"/>
    <w:rsid w:val="001102C9"/>
    <w:rsid w:val="00110633"/>
    <w:rsid w:val="001149CA"/>
    <w:rsid w:val="0011756E"/>
    <w:rsid w:val="00117841"/>
    <w:rsid w:val="00120588"/>
    <w:rsid w:val="00130D17"/>
    <w:rsid w:val="0013304E"/>
    <w:rsid w:val="00134CF1"/>
    <w:rsid w:val="00135AFD"/>
    <w:rsid w:val="00136F19"/>
    <w:rsid w:val="00136FA6"/>
    <w:rsid w:val="00150B34"/>
    <w:rsid w:val="00151F73"/>
    <w:rsid w:val="001521BA"/>
    <w:rsid w:val="00152680"/>
    <w:rsid w:val="00152E85"/>
    <w:rsid w:val="00155CD8"/>
    <w:rsid w:val="001576F0"/>
    <w:rsid w:val="00160D26"/>
    <w:rsid w:val="00161F02"/>
    <w:rsid w:val="00164B80"/>
    <w:rsid w:val="0016501F"/>
    <w:rsid w:val="001650DE"/>
    <w:rsid w:val="00166F21"/>
    <w:rsid w:val="001716CE"/>
    <w:rsid w:val="001724A1"/>
    <w:rsid w:val="00175CF3"/>
    <w:rsid w:val="00181190"/>
    <w:rsid w:val="001815CE"/>
    <w:rsid w:val="001821E8"/>
    <w:rsid w:val="00184FDC"/>
    <w:rsid w:val="00186862"/>
    <w:rsid w:val="00187DDF"/>
    <w:rsid w:val="001904F4"/>
    <w:rsid w:val="00190F98"/>
    <w:rsid w:val="001933C5"/>
    <w:rsid w:val="00195F24"/>
    <w:rsid w:val="001A3399"/>
    <w:rsid w:val="001B0704"/>
    <w:rsid w:val="001B2F3B"/>
    <w:rsid w:val="001B74E7"/>
    <w:rsid w:val="001B7C30"/>
    <w:rsid w:val="001C1939"/>
    <w:rsid w:val="001C2A19"/>
    <w:rsid w:val="001C5067"/>
    <w:rsid w:val="001C79E9"/>
    <w:rsid w:val="001D18C7"/>
    <w:rsid w:val="001D3592"/>
    <w:rsid w:val="001D4E74"/>
    <w:rsid w:val="001D6CD9"/>
    <w:rsid w:val="001D7486"/>
    <w:rsid w:val="001E0D52"/>
    <w:rsid w:val="001E3A73"/>
    <w:rsid w:val="001E75E0"/>
    <w:rsid w:val="001F24AC"/>
    <w:rsid w:val="001F4D27"/>
    <w:rsid w:val="0020428A"/>
    <w:rsid w:val="002052A8"/>
    <w:rsid w:val="002052FA"/>
    <w:rsid w:val="0020679D"/>
    <w:rsid w:val="00207C80"/>
    <w:rsid w:val="00211534"/>
    <w:rsid w:val="00215899"/>
    <w:rsid w:val="002167F7"/>
    <w:rsid w:val="00217D22"/>
    <w:rsid w:val="0022785D"/>
    <w:rsid w:val="0023192C"/>
    <w:rsid w:val="00233B9F"/>
    <w:rsid w:val="00234D34"/>
    <w:rsid w:val="002407A4"/>
    <w:rsid w:val="00240856"/>
    <w:rsid w:val="00240A41"/>
    <w:rsid w:val="002435F5"/>
    <w:rsid w:val="00246BFC"/>
    <w:rsid w:val="00250978"/>
    <w:rsid w:val="00251AEC"/>
    <w:rsid w:val="002534C9"/>
    <w:rsid w:val="00254989"/>
    <w:rsid w:val="00255B2E"/>
    <w:rsid w:val="00256313"/>
    <w:rsid w:val="002565BB"/>
    <w:rsid w:val="00260390"/>
    <w:rsid w:val="00272462"/>
    <w:rsid w:val="002754D6"/>
    <w:rsid w:val="002769AF"/>
    <w:rsid w:val="002805D3"/>
    <w:rsid w:val="0028181D"/>
    <w:rsid w:val="00282304"/>
    <w:rsid w:val="00286E56"/>
    <w:rsid w:val="00291012"/>
    <w:rsid w:val="00292C7D"/>
    <w:rsid w:val="00293B87"/>
    <w:rsid w:val="002957EB"/>
    <w:rsid w:val="002A0FA2"/>
    <w:rsid w:val="002A14EA"/>
    <w:rsid w:val="002A1D6E"/>
    <w:rsid w:val="002A2B78"/>
    <w:rsid w:val="002A7D3F"/>
    <w:rsid w:val="002B0F29"/>
    <w:rsid w:val="002B43EA"/>
    <w:rsid w:val="002B7A24"/>
    <w:rsid w:val="002C00EF"/>
    <w:rsid w:val="002C0E1D"/>
    <w:rsid w:val="002C178B"/>
    <w:rsid w:val="002C4410"/>
    <w:rsid w:val="002C5790"/>
    <w:rsid w:val="002C6FC8"/>
    <w:rsid w:val="002C7D95"/>
    <w:rsid w:val="002D0233"/>
    <w:rsid w:val="002D3CED"/>
    <w:rsid w:val="002D4CDF"/>
    <w:rsid w:val="002D4E5B"/>
    <w:rsid w:val="002D6332"/>
    <w:rsid w:val="002D69C5"/>
    <w:rsid w:val="002D7200"/>
    <w:rsid w:val="002E1094"/>
    <w:rsid w:val="002E2961"/>
    <w:rsid w:val="002E3BAD"/>
    <w:rsid w:val="002E3DB5"/>
    <w:rsid w:val="002E454F"/>
    <w:rsid w:val="002E45E3"/>
    <w:rsid w:val="002E5255"/>
    <w:rsid w:val="002E7E05"/>
    <w:rsid w:val="002F3C8F"/>
    <w:rsid w:val="002F5B28"/>
    <w:rsid w:val="002F6F48"/>
    <w:rsid w:val="00301A03"/>
    <w:rsid w:val="003051ED"/>
    <w:rsid w:val="003104CE"/>
    <w:rsid w:val="00312A73"/>
    <w:rsid w:val="00317707"/>
    <w:rsid w:val="00317F27"/>
    <w:rsid w:val="0032049E"/>
    <w:rsid w:val="003204FF"/>
    <w:rsid w:val="00320C06"/>
    <w:rsid w:val="0032247D"/>
    <w:rsid w:val="003224CE"/>
    <w:rsid w:val="00326E8B"/>
    <w:rsid w:val="00332471"/>
    <w:rsid w:val="003325C7"/>
    <w:rsid w:val="00333437"/>
    <w:rsid w:val="0033481E"/>
    <w:rsid w:val="00343860"/>
    <w:rsid w:val="003459F7"/>
    <w:rsid w:val="00346A2E"/>
    <w:rsid w:val="00350526"/>
    <w:rsid w:val="00353B12"/>
    <w:rsid w:val="00353C87"/>
    <w:rsid w:val="00357210"/>
    <w:rsid w:val="00360A68"/>
    <w:rsid w:val="00361DCF"/>
    <w:rsid w:val="003634EA"/>
    <w:rsid w:val="003675AB"/>
    <w:rsid w:val="003700D3"/>
    <w:rsid w:val="00376F58"/>
    <w:rsid w:val="00380334"/>
    <w:rsid w:val="00383E5E"/>
    <w:rsid w:val="00386585"/>
    <w:rsid w:val="00387C45"/>
    <w:rsid w:val="003904F4"/>
    <w:rsid w:val="003915FC"/>
    <w:rsid w:val="003923A2"/>
    <w:rsid w:val="003958B8"/>
    <w:rsid w:val="003A0BA6"/>
    <w:rsid w:val="003A1804"/>
    <w:rsid w:val="003A2EAF"/>
    <w:rsid w:val="003A2FF4"/>
    <w:rsid w:val="003A43C6"/>
    <w:rsid w:val="003A5D61"/>
    <w:rsid w:val="003A674B"/>
    <w:rsid w:val="003A7030"/>
    <w:rsid w:val="003A7CD9"/>
    <w:rsid w:val="003A7F81"/>
    <w:rsid w:val="003C1276"/>
    <w:rsid w:val="003C1538"/>
    <w:rsid w:val="003C5123"/>
    <w:rsid w:val="003C57CB"/>
    <w:rsid w:val="003D035E"/>
    <w:rsid w:val="003D4866"/>
    <w:rsid w:val="003D600F"/>
    <w:rsid w:val="003E32A6"/>
    <w:rsid w:val="003E3A72"/>
    <w:rsid w:val="003E7BE0"/>
    <w:rsid w:val="003F0815"/>
    <w:rsid w:val="003F0A8F"/>
    <w:rsid w:val="003F1FBC"/>
    <w:rsid w:val="003F4F23"/>
    <w:rsid w:val="003F56ED"/>
    <w:rsid w:val="003F5AB3"/>
    <w:rsid w:val="003F5B5B"/>
    <w:rsid w:val="003F6D96"/>
    <w:rsid w:val="00401F33"/>
    <w:rsid w:val="00401F35"/>
    <w:rsid w:val="00404901"/>
    <w:rsid w:val="00404DFF"/>
    <w:rsid w:val="0040505E"/>
    <w:rsid w:val="004068A7"/>
    <w:rsid w:val="00411203"/>
    <w:rsid w:val="00412278"/>
    <w:rsid w:val="00414251"/>
    <w:rsid w:val="004158D8"/>
    <w:rsid w:val="0041651A"/>
    <w:rsid w:val="00417D52"/>
    <w:rsid w:val="00420030"/>
    <w:rsid w:val="004215D0"/>
    <w:rsid w:val="0042359A"/>
    <w:rsid w:val="00424702"/>
    <w:rsid w:val="0042572A"/>
    <w:rsid w:val="00425A95"/>
    <w:rsid w:val="00426B55"/>
    <w:rsid w:val="0042740A"/>
    <w:rsid w:val="00427B38"/>
    <w:rsid w:val="004341AF"/>
    <w:rsid w:val="0043473F"/>
    <w:rsid w:val="0043536B"/>
    <w:rsid w:val="00436AC4"/>
    <w:rsid w:val="004379DA"/>
    <w:rsid w:val="00437B2B"/>
    <w:rsid w:val="00440A86"/>
    <w:rsid w:val="0044382B"/>
    <w:rsid w:val="00443962"/>
    <w:rsid w:val="00445310"/>
    <w:rsid w:val="0044574D"/>
    <w:rsid w:val="004462B8"/>
    <w:rsid w:val="004471D3"/>
    <w:rsid w:val="0045063A"/>
    <w:rsid w:val="00460850"/>
    <w:rsid w:val="00480B1B"/>
    <w:rsid w:val="0048145C"/>
    <w:rsid w:val="00481C59"/>
    <w:rsid w:val="00481F4A"/>
    <w:rsid w:val="004822E1"/>
    <w:rsid w:val="00482363"/>
    <w:rsid w:val="00484DEB"/>
    <w:rsid w:val="00485F96"/>
    <w:rsid w:val="00486507"/>
    <w:rsid w:val="00486A75"/>
    <w:rsid w:val="00495425"/>
    <w:rsid w:val="004A15F2"/>
    <w:rsid w:val="004A349A"/>
    <w:rsid w:val="004A3C69"/>
    <w:rsid w:val="004A538E"/>
    <w:rsid w:val="004B010A"/>
    <w:rsid w:val="004B241A"/>
    <w:rsid w:val="004B3759"/>
    <w:rsid w:val="004B3786"/>
    <w:rsid w:val="004B653B"/>
    <w:rsid w:val="004B713F"/>
    <w:rsid w:val="004C12A7"/>
    <w:rsid w:val="004C1E93"/>
    <w:rsid w:val="004C3311"/>
    <w:rsid w:val="004C5E7F"/>
    <w:rsid w:val="004D1B07"/>
    <w:rsid w:val="004D2BA0"/>
    <w:rsid w:val="004D55BC"/>
    <w:rsid w:val="004E2F31"/>
    <w:rsid w:val="004E33E3"/>
    <w:rsid w:val="004E6ED0"/>
    <w:rsid w:val="004F20CF"/>
    <w:rsid w:val="004F2DA5"/>
    <w:rsid w:val="004F2EE4"/>
    <w:rsid w:val="004F3996"/>
    <w:rsid w:val="004F3BAF"/>
    <w:rsid w:val="004F783E"/>
    <w:rsid w:val="00502A63"/>
    <w:rsid w:val="00504053"/>
    <w:rsid w:val="005054E3"/>
    <w:rsid w:val="005100AC"/>
    <w:rsid w:val="005120EE"/>
    <w:rsid w:val="00512397"/>
    <w:rsid w:val="00513938"/>
    <w:rsid w:val="00515309"/>
    <w:rsid w:val="0052191B"/>
    <w:rsid w:val="00524198"/>
    <w:rsid w:val="00524FD1"/>
    <w:rsid w:val="005344A9"/>
    <w:rsid w:val="00534D34"/>
    <w:rsid w:val="00535492"/>
    <w:rsid w:val="00535526"/>
    <w:rsid w:val="005358B7"/>
    <w:rsid w:val="00536273"/>
    <w:rsid w:val="0053735F"/>
    <w:rsid w:val="005375F1"/>
    <w:rsid w:val="00540EA7"/>
    <w:rsid w:val="00542DFA"/>
    <w:rsid w:val="005431C8"/>
    <w:rsid w:val="005436EE"/>
    <w:rsid w:val="00546545"/>
    <w:rsid w:val="0054694D"/>
    <w:rsid w:val="00547B30"/>
    <w:rsid w:val="00550971"/>
    <w:rsid w:val="0055486C"/>
    <w:rsid w:val="00556AB7"/>
    <w:rsid w:val="00562340"/>
    <w:rsid w:val="00566C77"/>
    <w:rsid w:val="005700E8"/>
    <w:rsid w:val="00570BB3"/>
    <w:rsid w:val="005720B1"/>
    <w:rsid w:val="0057327F"/>
    <w:rsid w:val="005732A7"/>
    <w:rsid w:val="00574FF5"/>
    <w:rsid w:val="00576F2B"/>
    <w:rsid w:val="00577621"/>
    <w:rsid w:val="00580269"/>
    <w:rsid w:val="00580DF6"/>
    <w:rsid w:val="00583997"/>
    <w:rsid w:val="005870BA"/>
    <w:rsid w:val="00587569"/>
    <w:rsid w:val="00587B3C"/>
    <w:rsid w:val="00590AFA"/>
    <w:rsid w:val="00590D80"/>
    <w:rsid w:val="005916F2"/>
    <w:rsid w:val="00592607"/>
    <w:rsid w:val="00593C2A"/>
    <w:rsid w:val="00596F9E"/>
    <w:rsid w:val="0059730D"/>
    <w:rsid w:val="005A44E5"/>
    <w:rsid w:val="005A4D39"/>
    <w:rsid w:val="005A5995"/>
    <w:rsid w:val="005A629B"/>
    <w:rsid w:val="005A6537"/>
    <w:rsid w:val="005A6776"/>
    <w:rsid w:val="005A7F4F"/>
    <w:rsid w:val="005B0CD9"/>
    <w:rsid w:val="005B3F7A"/>
    <w:rsid w:val="005B52F6"/>
    <w:rsid w:val="005B7D17"/>
    <w:rsid w:val="005C17E2"/>
    <w:rsid w:val="005C18CF"/>
    <w:rsid w:val="005C2E39"/>
    <w:rsid w:val="005C7B47"/>
    <w:rsid w:val="005D148E"/>
    <w:rsid w:val="005D546E"/>
    <w:rsid w:val="005D5FDF"/>
    <w:rsid w:val="005D68B9"/>
    <w:rsid w:val="005E01BB"/>
    <w:rsid w:val="005E213F"/>
    <w:rsid w:val="005E3F28"/>
    <w:rsid w:val="005E6A72"/>
    <w:rsid w:val="005E7115"/>
    <w:rsid w:val="005E7E48"/>
    <w:rsid w:val="005F1154"/>
    <w:rsid w:val="005F2DCC"/>
    <w:rsid w:val="005F64C0"/>
    <w:rsid w:val="00601F78"/>
    <w:rsid w:val="00602A6D"/>
    <w:rsid w:val="00602A6E"/>
    <w:rsid w:val="00602F15"/>
    <w:rsid w:val="00604467"/>
    <w:rsid w:val="00605908"/>
    <w:rsid w:val="0060774B"/>
    <w:rsid w:val="0061437B"/>
    <w:rsid w:val="006160C4"/>
    <w:rsid w:val="006172C5"/>
    <w:rsid w:val="006175DE"/>
    <w:rsid w:val="00620C33"/>
    <w:rsid w:val="00620ED8"/>
    <w:rsid w:val="006323A3"/>
    <w:rsid w:val="006369FF"/>
    <w:rsid w:val="0064084E"/>
    <w:rsid w:val="0064329E"/>
    <w:rsid w:val="006438C1"/>
    <w:rsid w:val="00643A59"/>
    <w:rsid w:val="006444CD"/>
    <w:rsid w:val="00646C36"/>
    <w:rsid w:val="00647C0A"/>
    <w:rsid w:val="00647D68"/>
    <w:rsid w:val="00650D56"/>
    <w:rsid w:val="00651357"/>
    <w:rsid w:val="00651FB5"/>
    <w:rsid w:val="00652086"/>
    <w:rsid w:val="00652AF2"/>
    <w:rsid w:val="006548F6"/>
    <w:rsid w:val="0065490C"/>
    <w:rsid w:val="00655BD2"/>
    <w:rsid w:val="006561C7"/>
    <w:rsid w:val="0065667E"/>
    <w:rsid w:val="006574DF"/>
    <w:rsid w:val="0065776B"/>
    <w:rsid w:val="0066553F"/>
    <w:rsid w:val="006669AA"/>
    <w:rsid w:val="0066775F"/>
    <w:rsid w:val="006679E8"/>
    <w:rsid w:val="006733BE"/>
    <w:rsid w:val="00676EBB"/>
    <w:rsid w:val="00680B15"/>
    <w:rsid w:val="00687216"/>
    <w:rsid w:val="00687B44"/>
    <w:rsid w:val="00687C58"/>
    <w:rsid w:val="006971AA"/>
    <w:rsid w:val="006A3246"/>
    <w:rsid w:val="006A3FA6"/>
    <w:rsid w:val="006A7989"/>
    <w:rsid w:val="006A7A2E"/>
    <w:rsid w:val="006B3A04"/>
    <w:rsid w:val="006B3BE9"/>
    <w:rsid w:val="006B5625"/>
    <w:rsid w:val="006C0469"/>
    <w:rsid w:val="006C1A41"/>
    <w:rsid w:val="006C1FF7"/>
    <w:rsid w:val="006C4DB9"/>
    <w:rsid w:val="006C7350"/>
    <w:rsid w:val="006D1D65"/>
    <w:rsid w:val="006D69BD"/>
    <w:rsid w:val="006E09B9"/>
    <w:rsid w:val="006E7D46"/>
    <w:rsid w:val="006F014B"/>
    <w:rsid w:val="006F1B68"/>
    <w:rsid w:val="006F2BAE"/>
    <w:rsid w:val="006F4B34"/>
    <w:rsid w:val="006F510F"/>
    <w:rsid w:val="006F5540"/>
    <w:rsid w:val="006F5703"/>
    <w:rsid w:val="006F6E32"/>
    <w:rsid w:val="006F7116"/>
    <w:rsid w:val="00701CAD"/>
    <w:rsid w:val="00702525"/>
    <w:rsid w:val="00703CD1"/>
    <w:rsid w:val="0070443E"/>
    <w:rsid w:val="00706FBC"/>
    <w:rsid w:val="007106C5"/>
    <w:rsid w:val="007124C4"/>
    <w:rsid w:val="007128F8"/>
    <w:rsid w:val="007139E7"/>
    <w:rsid w:val="00714E1D"/>
    <w:rsid w:val="0071687F"/>
    <w:rsid w:val="00717233"/>
    <w:rsid w:val="007177A1"/>
    <w:rsid w:val="00724B7F"/>
    <w:rsid w:val="007253B7"/>
    <w:rsid w:val="007255C2"/>
    <w:rsid w:val="00725734"/>
    <w:rsid w:val="007269E1"/>
    <w:rsid w:val="007320BC"/>
    <w:rsid w:val="0073258A"/>
    <w:rsid w:val="00734994"/>
    <w:rsid w:val="00740259"/>
    <w:rsid w:val="00740CC7"/>
    <w:rsid w:val="00751225"/>
    <w:rsid w:val="00752184"/>
    <w:rsid w:val="00752C2B"/>
    <w:rsid w:val="007565AD"/>
    <w:rsid w:val="00756981"/>
    <w:rsid w:val="00757173"/>
    <w:rsid w:val="00757310"/>
    <w:rsid w:val="00763003"/>
    <w:rsid w:val="00765680"/>
    <w:rsid w:val="00765D82"/>
    <w:rsid w:val="00765E1C"/>
    <w:rsid w:val="00766E68"/>
    <w:rsid w:val="00771BEE"/>
    <w:rsid w:val="00774E0C"/>
    <w:rsid w:val="007756F4"/>
    <w:rsid w:val="00775B07"/>
    <w:rsid w:val="00782573"/>
    <w:rsid w:val="00784165"/>
    <w:rsid w:val="00784C98"/>
    <w:rsid w:val="00790FFA"/>
    <w:rsid w:val="007913D4"/>
    <w:rsid w:val="0079638C"/>
    <w:rsid w:val="007A042E"/>
    <w:rsid w:val="007A0C88"/>
    <w:rsid w:val="007A16AF"/>
    <w:rsid w:val="007A1A17"/>
    <w:rsid w:val="007A1D55"/>
    <w:rsid w:val="007A31BC"/>
    <w:rsid w:val="007A4755"/>
    <w:rsid w:val="007A566A"/>
    <w:rsid w:val="007A6FA5"/>
    <w:rsid w:val="007A73FE"/>
    <w:rsid w:val="007B03AD"/>
    <w:rsid w:val="007B0AEF"/>
    <w:rsid w:val="007B0AF3"/>
    <w:rsid w:val="007B0DC4"/>
    <w:rsid w:val="007B5D35"/>
    <w:rsid w:val="007B7126"/>
    <w:rsid w:val="007B7383"/>
    <w:rsid w:val="007C3738"/>
    <w:rsid w:val="007C5737"/>
    <w:rsid w:val="007C79BB"/>
    <w:rsid w:val="007C7CD6"/>
    <w:rsid w:val="007D06F1"/>
    <w:rsid w:val="007D1C86"/>
    <w:rsid w:val="007D4AD8"/>
    <w:rsid w:val="007E0659"/>
    <w:rsid w:val="007E1F12"/>
    <w:rsid w:val="007E1F73"/>
    <w:rsid w:val="007E3FA3"/>
    <w:rsid w:val="007E52F7"/>
    <w:rsid w:val="007E6DF6"/>
    <w:rsid w:val="007F085B"/>
    <w:rsid w:val="007F5161"/>
    <w:rsid w:val="00803A3E"/>
    <w:rsid w:val="00806C4C"/>
    <w:rsid w:val="00806EE9"/>
    <w:rsid w:val="008134F8"/>
    <w:rsid w:val="008150B0"/>
    <w:rsid w:val="00817FF7"/>
    <w:rsid w:val="00820060"/>
    <w:rsid w:val="00820DFA"/>
    <w:rsid w:val="00821FE5"/>
    <w:rsid w:val="00827D5F"/>
    <w:rsid w:val="00830177"/>
    <w:rsid w:val="00830237"/>
    <w:rsid w:val="00833DCD"/>
    <w:rsid w:val="00834BF2"/>
    <w:rsid w:val="008421CC"/>
    <w:rsid w:val="0084371D"/>
    <w:rsid w:val="008443B3"/>
    <w:rsid w:val="00850462"/>
    <w:rsid w:val="00851E36"/>
    <w:rsid w:val="00857622"/>
    <w:rsid w:val="00857FB4"/>
    <w:rsid w:val="008616CD"/>
    <w:rsid w:val="008628F0"/>
    <w:rsid w:val="00863D18"/>
    <w:rsid w:val="00864348"/>
    <w:rsid w:val="00865F8B"/>
    <w:rsid w:val="008661D9"/>
    <w:rsid w:val="008662BE"/>
    <w:rsid w:val="00872D1C"/>
    <w:rsid w:val="00873130"/>
    <w:rsid w:val="008748C2"/>
    <w:rsid w:val="00875324"/>
    <w:rsid w:val="00876838"/>
    <w:rsid w:val="0088098A"/>
    <w:rsid w:val="00887437"/>
    <w:rsid w:val="008921CE"/>
    <w:rsid w:val="00892358"/>
    <w:rsid w:val="00894982"/>
    <w:rsid w:val="00897DA3"/>
    <w:rsid w:val="008A2A48"/>
    <w:rsid w:val="008A4545"/>
    <w:rsid w:val="008A673C"/>
    <w:rsid w:val="008A7D8D"/>
    <w:rsid w:val="008B2F77"/>
    <w:rsid w:val="008B3956"/>
    <w:rsid w:val="008B4577"/>
    <w:rsid w:val="008C34B8"/>
    <w:rsid w:val="008C4417"/>
    <w:rsid w:val="008C52D3"/>
    <w:rsid w:val="008C69E6"/>
    <w:rsid w:val="008C6AC9"/>
    <w:rsid w:val="008C6E0C"/>
    <w:rsid w:val="008C722F"/>
    <w:rsid w:val="008D0ABA"/>
    <w:rsid w:val="008D6C0B"/>
    <w:rsid w:val="008D6DB0"/>
    <w:rsid w:val="008E067E"/>
    <w:rsid w:val="008E3EAD"/>
    <w:rsid w:val="008E67C1"/>
    <w:rsid w:val="008E7E63"/>
    <w:rsid w:val="008F4755"/>
    <w:rsid w:val="008F6291"/>
    <w:rsid w:val="008F7062"/>
    <w:rsid w:val="009004F9"/>
    <w:rsid w:val="00900EB7"/>
    <w:rsid w:val="00905B50"/>
    <w:rsid w:val="00912AB5"/>
    <w:rsid w:val="00912FFC"/>
    <w:rsid w:val="00913CB5"/>
    <w:rsid w:val="0091511F"/>
    <w:rsid w:val="009152B5"/>
    <w:rsid w:val="009155E1"/>
    <w:rsid w:val="00920BD8"/>
    <w:rsid w:val="009214C2"/>
    <w:rsid w:val="00922FD1"/>
    <w:rsid w:val="00924960"/>
    <w:rsid w:val="00925CE2"/>
    <w:rsid w:val="00931572"/>
    <w:rsid w:val="00931D49"/>
    <w:rsid w:val="00932EE2"/>
    <w:rsid w:val="00936F63"/>
    <w:rsid w:val="00942D0C"/>
    <w:rsid w:val="0094338A"/>
    <w:rsid w:val="0094481E"/>
    <w:rsid w:val="00953B26"/>
    <w:rsid w:val="00960EA7"/>
    <w:rsid w:val="009635A6"/>
    <w:rsid w:val="00967268"/>
    <w:rsid w:val="00974911"/>
    <w:rsid w:val="0097541C"/>
    <w:rsid w:val="009754A9"/>
    <w:rsid w:val="0097663C"/>
    <w:rsid w:val="00980626"/>
    <w:rsid w:val="00983B00"/>
    <w:rsid w:val="009847A9"/>
    <w:rsid w:val="00984C86"/>
    <w:rsid w:val="009850C5"/>
    <w:rsid w:val="009861D1"/>
    <w:rsid w:val="0099089A"/>
    <w:rsid w:val="00991180"/>
    <w:rsid w:val="0099165D"/>
    <w:rsid w:val="009934A9"/>
    <w:rsid w:val="00995FF2"/>
    <w:rsid w:val="00996210"/>
    <w:rsid w:val="009A015B"/>
    <w:rsid w:val="009A0271"/>
    <w:rsid w:val="009A057D"/>
    <w:rsid w:val="009A09AC"/>
    <w:rsid w:val="009A1077"/>
    <w:rsid w:val="009A226B"/>
    <w:rsid w:val="009A3DC4"/>
    <w:rsid w:val="009B3D1A"/>
    <w:rsid w:val="009C00DA"/>
    <w:rsid w:val="009C1112"/>
    <w:rsid w:val="009C2308"/>
    <w:rsid w:val="009C2F5B"/>
    <w:rsid w:val="009C3B6B"/>
    <w:rsid w:val="009C5F16"/>
    <w:rsid w:val="009C6D61"/>
    <w:rsid w:val="009D0632"/>
    <w:rsid w:val="009D31C1"/>
    <w:rsid w:val="009D361B"/>
    <w:rsid w:val="009E102A"/>
    <w:rsid w:val="009E1F25"/>
    <w:rsid w:val="009E232B"/>
    <w:rsid w:val="009E48DC"/>
    <w:rsid w:val="009E58C0"/>
    <w:rsid w:val="009E7691"/>
    <w:rsid w:val="009E7F7E"/>
    <w:rsid w:val="009F7553"/>
    <w:rsid w:val="009F777C"/>
    <w:rsid w:val="00A01EE9"/>
    <w:rsid w:val="00A03B70"/>
    <w:rsid w:val="00A04730"/>
    <w:rsid w:val="00A1137D"/>
    <w:rsid w:val="00A13DBD"/>
    <w:rsid w:val="00A150CC"/>
    <w:rsid w:val="00A171EF"/>
    <w:rsid w:val="00A20600"/>
    <w:rsid w:val="00A23B46"/>
    <w:rsid w:val="00A26243"/>
    <w:rsid w:val="00A262D9"/>
    <w:rsid w:val="00A26569"/>
    <w:rsid w:val="00A26D8E"/>
    <w:rsid w:val="00A3254C"/>
    <w:rsid w:val="00A32D07"/>
    <w:rsid w:val="00A32DEE"/>
    <w:rsid w:val="00A349E2"/>
    <w:rsid w:val="00A456CD"/>
    <w:rsid w:val="00A47921"/>
    <w:rsid w:val="00A50341"/>
    <w:rsid w:val="00A528FE"/>
    <w:rsid w:val="00A54799"/>
    <w:rsid w:val="00A5540F"/>
    <w:rsid w:val="00A56B37"/>
    <w:rsid w:val="00A573AE"/>
    <w:rsid w:val="00A57D8E"/>
    <w:rsid w:val="00A6331F"/>
    <w:rsid w:val="00A649D0"/>
    <w:rsid w:val="00A6602B"/>
    <w:rsid w:val="00A66A64"/>
    <w:rsid w:val="00A74410"/>
    <w:rsid w:val="00A7471E"/>
    <w:rsid w:val="00A75723"/>
    <w:rsid w:val="00A77C7C"/>
    <w:rsid w:val="00A800EF"/>
    <w:rsid w:val="00A8583B"/>
    <w:rsid w:val="00A928CD"/>
    <w:rsid w:val="00A92A11"/>
    <w:rsid w:val="00A92C3E"/>
    <w:rsid w:val="00A93E8A"/>
    <w:rsid w:val="00A9492D"/>
    <w:rsid w:val="00A97712"/>
    <w:rsid w:val="00AA0CE7"/>
    <w:rsid w:val="00AA12C9"/>
    <w:rsid w:val="00AA2BC3"/>
    <w:rsid w:val="00AB0099"/>
    <w:rsid w:val="00AB0D9D"/>
    <w:rsid w:val="00AB19E7"/>
    <w:rsid w:val="00AB266D"/>
    <w:rsid w:val="00AB287F"/>
    <w:rsid w:val="00AB2DAB"/>
    <w:rsid w:val="00AB383F"/>
    <w:rsid w:val="00AC251F"/>
    <w:rsid w:val="00AC498C"/>
    <w:rsid w:val="00AC6218"/>
    <w:rsid w:val="00AC7B6A"/>
    <w:rsid w:val="00AC7EAB"/>
    <w:rsid w:val="00AD66AD"/>
    <w:rsid w:val="00AD7C42"/>
    <w:rsid w:val="00AE0820"/>
    <w:rsid w:val="00AE09E6"/>
    <w:rsid w:val="00AE3022"/>
    <w:rsid w:val="00AE51D5"/>
    <w:rsid w:val="00AE5BF5"/>
    <w:rsid w:val="00AE5D61"/>
    <w:rsid w:val="00AE7BFA"/>
    <w:rsid w:val="00AF036D"/>
    <w:rsid w:val="00AF1A45"/>
    <w:rsid w:val="00AF308B"/>
    <w:rsid w:val="00B0646F"/>
    <w:rsid w:val="00B078D7"/>
    <w:rsid w:val="00B1181A"/>
    <w:rsid w:val="00B17B46"/>
    <w:rsid w:val="00B2181B"/>
    <w:rsid w:val="00B235C3"/>
    <w:rsid w:val="00B256E8"/>
    <w:rsid w:val="00B30698"/>
    <w:rsid w:val="00B31578"/>
    <w:rsid w:val="00B325D4"/>
    <w:rsid w:val="00B354CB"/>
    <w:rsid w:val="00B361AE"/>
    <w:rsid w:val="00B41851"/>
    <w:rsid w:val="00B42A38"/>
    <w:rsid w:val="00B42BD0"/>
    <w:rsid w:val="00B466A7"/>
    <w:rsid w:val="00B479B8"/>
    <w:rsid w:val="00B53760"/>
    <w:rsid w:val="00B54521"/>
    <w:rsid w:val="00B5526B"/>
    <w:rsid w:val="00B63201"/>
    <w:rsid w:val="00B64D32"/>
    <w:rsid w:val="00B70B4F"/>
    <w:rsid w:val="00B70D2B"/>
    <w:rsid w:val="00B71E3F"/>
    <w:rsid w:val="00B749BD"/>
    <w:rsid w:val="00B772E7"/>
    <w:rsid w:val="00B8477A"/>
    <w:rsid w:val="00B87F7E"/>
    <w:rsid w:val="00B90EB6"/>
    <w:rsid w:val="00B94F72"/>
    <w:rsid w:val="00BA2C10"/>
    <w:rsid w:val="00BA35F7"/>
    <w:rsid w:val="00BA4E47"/>
    <w:rsid w:val="00BA6993"/>
    <w:rsid w:val="00BA7289"/>
    <w:rsid w:val="00BA76FB"/>
    <w:rsid w:val="00BB3FEB"/>
    <w:rsid w:val="00BC3D71"/>
    <w:rsid w:val="00BC4D6C"/>
    <w:rsid w:val="00BC5D0A"/>
    <w:rsid w:val="00BC67FD"/>
    <w:rsid w:val="00BD0A8C"/>
    <w:rsid w:val="00BD300A"/>
    <w:rsid w:val="00BD6DDC"/>
    <w:rsid w:val="00BE02AB"/>
    <w:rsid w:val="00BE2049"/>
    <w:rsid w:val="00BE4EAD"/>
    <w:rsid w:val="00BE65AD"/>
    <w:rsid w:val="00BE6930"/>
    <w:rsid w:val="00BF3982"/>
    <w:rsid w:val="00BF4D79"/>
    <w:rsid w:val="00C01258"/>
    <w:rsid w:val="00C01A87"/>
    <w:rsid w:val="00C04655"/>
    <w:rsid w:val="00C047AC"/>
    <w:rsid w:val="00C0740D"/>
    <w:rsid w:val="00C113D9"/>
    <w:rsid w:val="00C12CEB"/>
    <w:rsid w:val="00C13C5F"/>
    <w:rsid w:val="00C16400"/>
    <w:rsid w:val="00C16A71"/>
    <w:rsid w:val="00C17DC8"/>
    <w:rsid w:val="00C21C95"/>
    <w:rsid w:val="00C24B8E"/>
    <w:rsid w:val="00C27B16"/>
    <w:rsid w:val="00C31FDE"/>
    <w:rsid w:val="00C34721"/>
    <w:rsid w:val="00C34A62"/>
    <w:rsid w:val="00C40292"/>
    <w:rsid w:val="00C43EA3"/>
    <w:rsid w:val="00C46B76"/>
    <w:rsid w:val="00C46EF0"/>
    <w:rsid w:val="00C517A3"/>
    <w:rsid w:val="00C56F35"/>
    <w:rsid w:val="00C605B8"/>
    <w:rsid w:val="00C61DAD"/>
    <w:rsid w:val="00C62DC1"/>
    <w:rsid w:val="00C64189"/>
    <w:rsid w:val="00C66255"/>
    <w:rsid w:val="00C671FE"/>
    <w:rsid w:val="00C70090"/>
    <w:rsid w:val="00C70823"/>
    <w:rsid w:val="00C70DFC"/>
    <w:rsid w:val="00C773CC"/>
    <w:rsid w:val="00C81AAD"/>
    <w:rsid w:val="00C82895"/>
    <w:rsid w:val="00C84CA6"/>
    <w:rsid w:val="00C85AE4"/>
    <w:rsid w:val="00C92802"/>
    <w:rsid w:val="00C931DF"/>
    <w:rsid w:val="00C9345F"/>
    <w:rsid w:val="00C9350E"/>
    <w:rsid w:val="00C935AF"/>
    <w:rsid w:val="00C966DA"/>
    <w:rsid w:val="00CA0606"/>
    <w:rsid w:val="00CA0628"/>
    <w:rsid w:val="00CA0852"/>
    <w:rsid w:val="00CA09C4"/>
    <w:rsid w:val="00CA32A6"/>
    <w:rsid w:val="00CA3610"/>
    <w:rsid w:val="00CB0EC6"/>
    <w:rsid w:val="00CB1775"/>
    <w:rsid w:val="00CB18AB"/>
    <w:rsid w:val="00CB2AD0"/>
    <w:rsid w:val="00CB3DA5"/>
    <w:rsid w:val="00CB680F"/>
    <w:rsid w:val="00CB6F9A"/>
    <w:rsid w:val="00CC131C"/>
    <w:rsid w:val="00CC17C6"/>
    <w:rsid w:val="00CC26FD"/>
    <w:rsid w:val="00CC30C4"/>
    <w:rsid w:val="00CC321E"/>
    <w:rsid w:val="00CC4FB3"/>
    <w:rsid w:val="00CC5B5E"/>
    <w:rsid w:val="00CD4DEA"/>
    <w:rsid w:val="00CD5CD2"/>
    <w:rsid w:val="00CD7409"/>
    <w:rsid w:val="00CE0E0B"/>
    <w:rsid w:val="00CE1CA9"/>
    <w:rsid w:val="00CF2E00"/>
    <w:rsid w:val="00CF3114"/>
    <w:rsid w:val="00CF31B5"/>
    <w:rsid w:val="00CF37AD"/>
    <w:rsid w:val="00CF38DF"/>
    <w:rsid w:val="00D0190C"/>
    <w:rsid w:val="00D03A1A"/>
    <w:rsid w:val="00D049AD"/>
    <w:rsid w:val="00D04A96"/>
    <w:rsid w:val="00D11B1E"/>
    <w:rsid w:val="00D12DCB"/>
    <w:rsid w:val="00D13520"/>
    <w:rsid w:val="00D1580A"/>
    <w:rsid w:val="00D15BBD"/>
    <w:rsid w:val="00D167E0"/>
    <w:rsid w:val="00D16E0E"/>
    <w:rsid w:val="00D25F3B"/>
    <w:rsid w:val="00D26E72"/>
    <w:rsid w:val="00D360C7"/>
    <w:rsid w:val="00D377C9"/>
    <w:rsid w:val="00D37CE5"/>
    <w:rsid w:val="00D37F98"/>
    <w:rsid w:val="00D41DFC"/>
    <w:rsid w:val="00D47602"/>
    <w:rsid w:val="00D520A8"/>
    <w:rsid w:val="00D54B4C"/>
    <w:rsid w:val="00D571F2"/>
    <w:rsid w:val="00D57623"/>
    <w:rsid w:val="00D61FFA"/>
    <w:rsid w:val="00D6265E"/>
    <w:rsid w:val="00D64747"/>
    <w:rsid w:val="00D66105"/>
    <w:rsid w:val="00D67A67"/>
    <w:rsid w:val="00D734BC"/>
    <w:rsid w:val="00D7367F"/>
    <w:rsid w:val="00D75189"/>
    <w:rsid w:val="00D75C4F"/>
    <w:rsid w:val="00D832E7"/>
    <w:rsid w:val="00D8527D"/>
    <w:rsid w:val="00D85DCF"/>
    <w:rsid w:val="00D86869"/>
    <w:rsid w:val="00D931EB"/>
    <w:rsid w:val="00D95133"/>
    <w:rsid w:val="00D95BB7"/>
    <w:rsid w:val="00DA0F2D"/>
    <w:rsid w:val="00DA3446"/>
    <w:rsid w:val="00DA407B"/>
    <w:rsid w:val="00DA69B9"/>
    <w:rsid w:val="00DA6D07"/>
    <w:rsid w:val="00DB0192"/>
    <w:rsid w:val="00DB08D2"/>
    <w:rsid w:val="00DB0917"/>
    <w:rsid w:val="00DB18E6"/>
    <w:rsid w:val="00DB38C2"/>
    <w:rsid w:val="00DB6AAA"/>
    <w:rsid w:val="00DC4275"/>
    <w:rsid w:val="00DC7817"/>
    <w:rsid w:val="00DD087E"/>
    <w:rsid w:val="00DD1F87"/>
    <w:rsid w:val="00DD3221"/>
    <w:rsid w:val="00DD4A3D"/>
    <w:rsid w:val="00DD6A72"/>
    <w:rsid w:val="00DD6AFA"/>
    <w:rsid w:val="00DE2A85"/>
    <w:rsid w:val="00DE4513"/>
    <w:rsid w:val="00DE7E9F"/>
    <w:rsid w:val="00DF1E4F"/>
    <w:rsid w:val="00DF3774"/>
    <w:rsid w:val="00DF3C21"/>
    <w:rsid w:val="00DF6019"/>
    <w:rsid w:val="00DF60A9"/>
    <w:rsid w:val="00E02AD0"/>
    <w:rsid w:val="00E04EC1"/>
    <w:rsid w:val="00E05728"/>
    <w:rsid w:val="00E07DA9"/>
    <w:rsid w:val="00E1115F"/>
    <w:rsid w:val="00E14436"/>
    <w:rsid w:val="00E15582"/>
    <w:rsid w:val="00E15844"/>
    <w:rsid w:val="00E1747B"/>
    <w:rsid w:val="00E209B5"/>
    <w:rsid w:val="00E21DA4"/>
    <w:rsid w:val="00E225B7"/>
    <w:rsid w:val="00E22C5A"/>
    <w:rsid w:val="00E23388"/>
    <w:rsid w:val="00E258A2"/>
    <w:rsid w:val="00E25ADF"/>
    <w:rsid w:val="00E31A52"/>
    <w:rsid w:val="00E32870"/>
    <w:rsid w:val="00E40D00"/>
    <w:rsid w:val="00E420A9"/>
    <w:rsid w:val="00E43C8B"/>
    <w:rsid w:val="00E4541A"/>
    <w:rsid w:val="00E465E2"/>
    <w:rsid w:val="00E47251"/>
    <w:rsid w:val="00E47B34"/>
    <w:rsid w:val="00E541DF"/>
    <w:rsid w:val="00E547F3"/>
    <w:rsid w:val="00E67EF3"/>
    <w:rsid w:val="00E71D56"/>
    <w:rsid w:val="00E73D4E"/>
    <w:rsid w:val="00E805ED"/>
    <w:rsid w:val="00E83E23"/>
    <w:rsid w:val="00E84327"/>
    <w:rsid w:val="00E84D09"/>
    <w:rsid w:val="00E850AE"/>
    <w:rsid w:val="00E8528A"/>
    <w:rsid w:val="00E860F1"/>
    <w:rsid w:val="00E87C9F"/>
    <w:rsid w:val="00E9150D"/>
    <w:rsid w:val="00E92B8B"/>
    <w:rsid w:val="00E92F19"/>
    <w:rsid w:val="00E94F47"/>
    <w:rsid w:val="00E95643"/>
    <w:rsid w:val="00E973EC"/>
    <w:rsid w:val="00EA0D88"/>
    <w:rsid w:val="00EA5191"/>
    <w:rsid w:val="00EA622A"/>
    <w:rsid w:val="00EB062C"/>
    <w:rsid w:val="00EB3EAD"/>
    <w:rsid w:val="00EB5115"/>
    <w:rsid w:val="00EB7027"/>
    <w:rsid w:val="00EC1694"/>
    <w:rsid w:val="00EC400B"/>
    <w:rsid w:val="00EC4F83"/>
    <w:rsid w:val="00ED240B"/>
    <w:rsid w:val="00ED5722"/>
    <w:rsid w:val="00EE1530"/>
    <w:rsid w:val="00EE2B2F"/>
    <w:rsid w:val="00EE6810"/>
    <w:rsid w:val="00EF235E"/>
    <w:rsid w:val="00EF27F3"/>
    <w:rsid w:val="00EF369A"/>
    <w:rsid w:val="00EF754E"/>
    <w:rsid w:val="00F00513"/>
    <w:rsid w:val="00F00E24"/>
    <w:rsid w:val="00F01496"/>
    <w:rsid w:val="00F02C3A"/>
    <w:rsid w:val="00F03AB1"/>
    <w:rsid w:val="00F05746"/>
    <w:rsid w:val="00F0772F"/>
    <w:rsid w:val="00F07938"/>
    <w:rsid w:val="00F11D54"/>
    <w:rsid w:val="00F14AE8"/>
    <w:rsid w:val="00F21FA1"/>
    <w:rsid w:val="00F253F2"/>
    <w:rsid w:val="00F27754"/>
    <w:rsid w:val="00F31C13"/>
    <w:rsid w:val="00F3385F"/>
    <w:rsid w:val="00F35FA6"/>
    <w:rsid w:val="00F4075C"/>
    <w:rsid w:val="00F44EF6"/>
    <w:rsid w:val="00F5126D"/>
    <w:rsid w:val="00F524E9"/>
    <w:rsid w:val="00F55FBE"/>
    <w:rsid w:val="00F56A39"/>
    <w:rsid w:val="00F57BF5"/>
    <w:rsid w:val="00F600C0"/>
    <w:rsid w:val="00F62BF5"/>
    <w:rsid w:val="00F62FCF"/>
    <w:rsid w:val="00F669CB"/>
    <w:rsid w:val="00F71220"/>
    <w:rsid w:val="00F714D1"/>
    <w:rsid w:val="00F73527"/>
    <w:rsid w:val="00F73ACE"/>
    <w:rsid w:val="00F742D8"/>
    <w:rsid w:val="00F74FB7"/>
    <w:rsid w:val="00F7520D"/>
    <w:rsid w:val="00F81AF8"/>
    <w:rsid w:val="00F85710"/>
    <w:rsid w:val="00F86692"/>
    <w:rsid w:val="00F87710"/>
    <w:rsid w:val="00F9004E"/>
    <w:rsid w:val="00F91B5D"/>
    <w:rsid w:val="00F92984"/>
    <w:rsid w:val="00F95A8E"/>
    <w:rsid w:val="00FA2115"/>
    <w:rsid w:val="00FA21D9"/>
    <w:rsid w:val="00FA2ACB"/>
    <w:rsid w:val="00FA31F3"/>
    <w:rsid w:val="00FA4C78"/>
    <w:rsid w:val="00FA5B47"/>
    <w:rsid w:val="00FA6223"/>
    <w:rsid w:val="00FA66C2"/>
    <w:rsid w:val="00FB1A8E"/>
    <w:rsid w:val="00FB772F"/>
    <w:rsid w:val="00FC2D6A"/>
    <w:rsid w:val="00FC3E25"/>
    <w:rsid w:val="00FD0D4D"/>
    <w:rsid w:val="00FD39B7"/>
    <w:rsid w:val="00FD5674"/>
    <w:rsid w:val="00FE285A"/>
    <w:rsid w:val="00FE2BD8"/>
    <w:rsid w:val="00FE3335"/>
    <w:rsid w:val="00FE5B6C"/>
    <w:rsid w:val="00FF182D"/>
    <w:rsid w:val="00FF23C0"/>
    <w:rsid w:val="00FF6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 w:type="table" w:customStyle="1" w:styleId="TableGrid1">
    <w:name w:val="Table Grid1"/>
    <w:basedOn w:val="TableNormal"/>
    <w:next w:val="TableGrid"/>
    <w:uiPriority w:val="59"/>
    <w:rsid w:val="006D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 w:type="table" w:customStyle="1" w:styleId="TableGrid1">
    <w:name w:val="Table Grid1"/>
    <w:basedOn w:val="TableNormal"/>
    <w:next w:val="TableGrid"/>
    <w:uiPriority w:val="59"/>
    <w:rsid w:val="006D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plmf.org" TargetMode="External"/><Relationship Id="rId13" Type="http://schemas.openxmlformats.org/officeDocument/2006/relationships/hyperlink" Target="http://www.nzta.govt.nz/passenger-services-new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asurement.govt.n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ie.govt.nz/info-services/trading-standards" TargetMode="External"/><Relationship Id="rId5" Type="http://schemas.openxmlformats.org/officeDocument/2006/relationships/webSettings" Target="webSettings.xml"/><Relationship Id="rId15" Type="http://schemas.openxmlformats.org/officeDocument/2006/relationships/hyperlink" Target="https://www.tvnz.co.nz/shows/fair-go/clips/we-hit-the-streets-with-the-metrologists" TargetMode="External"/><Relationship Id="rId10" Type="http://schemas.openxmlformats.org/officeDocument/2006/relationships/hyperlink" Target="http://www.callaghaninnovation.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ie.govt.nz/" TargetMode="External"/><Relationship Id="rId14" Type="http://schemas.openxmlformats.org/officeDocument/2006/relationships/hyperlink" Target="https://www.tvnz.co.nz/shows/fair-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E2924514</Template>
  <TotalTime>129</TotalTime>
  <Pages>1</Pages>
  <Words>3252</Words>
  <Characters>18570</Characters>
  <Application>Microsoft Office Word</Application>
  <DocSecurity>0</DocSecurity>
  <Lines>464</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Smith</dc:creator>
  <cp:lastModifiedBy>Stephen O'Brien</cp:lastModifiedBy>
  <cp:revision>5</cp:revision>
  <cp:lastPrinted>2016-06-01T01:58:00Z</cp:lastPrinted>
  <dcterms:created xsi:type="dcterms:W3CDTF">2017-10-06T00:58:00Z</dcterms:created>
  <dcterms:modified xsi:type="dcterms:W3CDTF">2017-10-06T03:06:00Z</dcterms:modified>
</cp:coreProperties>
</file>