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64" w:rsidRPr="0085711E" w:rsidRDefault="00572F64" w:rsidP="00572F64">
      <w:pPr>
        <w:rPr>
          <w:rFonts w:ascii="Calibri" w:hAnsi="Calibri" w:cs="Calibri"/>
          <w:sz w:val="22"/>
          <w:szCs w:val="22"/>
        </w:rPr>
      </w:pPr>
      <w:r w:rsidRPr="0085711E">
        <w:rPr>
          <w:rFonts w:ascii="Calibri" w:hAnsi="Calibri" w:cs="Calibri"/>
          <w:sz w:val="22"/>
          <w:szCs w:val="22"/>
        </w:rPr>
        <w:t>APLM</w:t>
      </w:r>
      <w:r>
        <w:rPr>
          <w:rFonts w:ascii="Calibri" w:hAnsi="Calibri" w:cs="Calibri"/>
          <w:sz w:val="22"/>
          <w:szCs w:val="22"/>
        </w:rPr>
        <w:t>F Goods Packed by Measure – 2014</w:t>
      </w:r>
    </w:p>
    <w:p w:rsidR="00572F64" w:rsidRPr="0085711E" w:rsidRDefault="00572F64" w:rsidP="00572F64">
      <w:pPr>
        <w:pStyle w:val="Caption"/>
        <w:tabs>
          <w:tab w:val="left" w:pos="2835"/>
        </w:tabs>
        <w:jc w:val="left"/>
        <w:rPr>
          <w:rFonts w:ascii="Calibri" w:hAnsi="Calibri" w:cs="Calibri"/>
          <w:sz w:val="32"/>
          <w:szCs w:val="22"/>
        </w:rPr>
      </w:pPr>
      <w:r w:rsidRPr="0085711E">
        <w:rPr>
          <w:rFonts w:ascii="Calibri" w:hAnsi="Calibri" w:cs="Calibri"/>
          <w:sz w:val="22"/>
          <w:szCs w:val="22"/>
        </w:rPr>
        <w:object w:dxaOrig="1786" w:dyaOrig="1171" w14:anchorId="293EB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58.65pt" o:ole="" fillcolor="window">
            <v:imagedata r:id="rId6" o:title=""/>
          </v:shape>
          <o:OLEObject Type="Embed" ProgID="Word.Picture.8" ShapeID="_x0000_i1025" DrawAspect="Content" ObjectID="_1534335640" r:id="rId7"/>
        </w:object>
      </w:r>
      <w:r w:rsidRPr="0085711E">
        <w:rPr>
          <w:rFonts w:ascii="Calibri" w:hAnsi="Calibri" w:cs="Calibri"/>
          <w:sz w:val="22"/>
          <w:szCs w:val="22"/>
        </w:rPr>
        <w:tab/>
      </w:r>
      <w:r w:rsidRPr="0085711E">
        <w:rPr>
          <w:rFonts w:ascii="Calibri" w:hAnsi="Calibri" w:cs="Calibri"/>
          <w:sz w:val="32"/>
          <w:szCs w:val="22"/>
        </w:rPr>
        <w:t>ASIA – PACIFIC</w:t>
      </w:r>
      <w:r w:rsidRPr="0085711E">
        <w:rPr>
          <w:rFonts w:ascii="Calibri" w:hAnsi="Calibri" w:cs="Calibri"/>
          <w:sz w:val="32"/>
          <w:szCs w:val="22"/>
        </w:rPr>
        <w:tab/>
        <w:t>LEGAL METROLOGY FORUM</w:t>
      </w:r>
    </w:p>
    <w:p w:rsidR="00572F64" w:rsidRPr="005110B1" w:rsidRDefault="00572F64" w:rsidP="00572F64">
      <w:pPr>
        <w:pBdr>
          <w:bottom w:val="single" w:sz="12" w:space="1" w:color="auto"/>
        </w:pBdr>
        <w:rPr>
          <w:rFonts w:ascii="Calibri" w:hAnsi="Calibri" w:cs="Calibri"/>
          <w:b/>
          <w:sz w:val="32"/>
          <w:szCs w:val="22"/>
        </w:rPr>
      </w:pPr>
    </w:p>
    <w:p w:rsidR="00572F64" w:rsidRPr="0085711E" w:rsidRDefault="00572F64" w:rsidP="00572F64">
      <w:pPr>
        <w:jc w:val="center"/>
        <w:rPr>
          <w:rFonts w:ascii="Calibri" w:hAnsi="Calibri" w:cs="Calibri"/>
          <w:b/>
          <w:sz w:val="32"/>
          <w:szCs w:val="22"/>
        </w:rPr>
      </w:pPr>
    </w:p>
    <w:p w:rsidR="00572F64" w:rsidRPr="0085711E" w:rsidRDefault="00572F64" w:rsidP="00572F64">
      <w:pPr>
        <w:jc w:val="center"/>
        <w:rPr>
          <w:rFonts w:ascii="Calibri" w:hAnsi="Calibri" w:cs="Calibri"/>
          <w:b/>
          <w:sz w:val="32"/>
          <w:szCs w:val="22"/>
        </w:rPr>
      </w:pPr>
      <w:r w:rsidRPr="0085711E">
        <w:rPr>
          <w:rFonts w:ascii="Calibri" w:hAnsi="Calibri" w:cs="Calibri"/>
          <w:b/>
          <w:sz w:val="32"/>
          <w:szCs w:val="22"/>
        </w:rPr>
        <w:t>Working Group - Goods Packed by Measure</w:t>
      </w:r>
    </w:p>
    <w:p w:rsidR="00572F64" w:rsidRPr="0085711E" w:rsidRDefault="00572F64" w:rsidP="00572F64">
      <w:pPr>
        <w:ind w:left="2160" w:firstLine="405"/>
        <w:jc w:val="center"/>
        <w:rPr>
          <w:rFonts w:ascii="Calibri" w:hAnsi="Calibri" w:cs="Calibri"/>
          <w:b/>
          <w:sz w:val="32"/>
          <w:szCs w:val="22"/>
        </w:rPr>
      </w:pPr>
    </w:p>
    <w:p w:rsidR="00572F64" w:rsidRPr="0085711E" w:rsidRDefault="00572F64" w:rsidP="00572F64">
      <w:pPr>
        <w:jc w:val="center"/>
        <w:rPr>
          <w:rFonts w:ascii="Calibri" w:hAnsi="Calibri" w:cs="Calibri"/>
          <w:b/>
          <w:sz w:val="32"/>
          <w:szCs w:val="22"/>
        </w:rPr>
      </w:pPr>
      <w:r>
        <w:rPr>
          <w:rFonts w:ascii="Calibri" w:hAnsi="Calibri" w:cs="Calibri"/>
          <w:b/>
          <w:sz w:val="32"/>
          <w:szCs w:val="22"/>
        </w:rPr>
        <w:t>Work Group Report for 2014</w:t>
      </w:r>
    </w:p>
    <w:p w:rsidR="00572F64" w:rsidRPr="0085711E" w:rsidRDefault="00572F64" w:rsidP="00572F64">
      <w:pPr>
        <w:rPr>
          <w:rFonts w:ascii="Calibri" w:hAnsi="Calibri" w:cs="Calibri"/>
          <w:sz w:val="22"/>
          <w:szCs w:val="22"/>
        </w:rPr>
      </w:pPr>
    </w:p>
    <w:p w:rsidR="00572F64" w:rsidRPr="0085711E" w:rsidRDefault="00572F64" w:rsidP="00572F64">
      <w:pPr>
        <w:rPr>
          <w:rFonts w:ascii="Calibri" w:hAnsi="Calibri" w:cs="Calibri"/>
          <w:sz w:val="22"/>
          <w:szCs w:val="22"/>
        </w:rPr>
      </w:pPr>
    </w:p>
    <w:p w:rsidR="00572F64" w:rsidRPr="0085711E" w:rsidRDefault="00572F64" w:rsidP="00572F64">
      <w:pPr>
        <w:jc w:val="center"/>
        <w:rPr>
          <w:rFonts w:ascii="Calibri" w:hAnsi="Calibri" w:cs="Calibri"/>
          <w:b/>
          <w:szCs w:val="22"/>
        </w:rPr>
      </w:pPr>
      <w:r w:rsidRPr="0085711E">
        <w:rPr>
          <w:rFonts w:ascii="Calibri" w:hAnsi="Calibri" w:cs="Calibri"/>
          <w:b/>
          <w:szCs w:val="22"/>
        </w:rPr>
        <w:t>Report on the work of OIML Technical Committee 6 (TC6) – Pre-packaged Products.</w:t>
      </w:r>
    </w:p>
    <w:p w:rsidR="00572F64" w:rsidRPr="0085711E" w:rsidRDefault="00572F64" w:rsidP="00572F64">
      <w:pPr>
        <w:rPr>
          <w:rFonts w:ascii="Calibri" w:hAnsi="Calibri" w:cs="Calibri"/>
          <w:sz w:val="22"/>
          <w:szCs w:val="22"/>
        </w:rPr>
      </w:pPr>
    </w:p>
    <w:p w:rsidR="00572F64" w:rsidRPr="0085711E" w:rsidRDefault="00572F64" w:rsidP="00572F64">
      <w:pPr>
        <w:rPr>
          <w:rStyle w:val="BodyTextChar"/>
          <w:rFonts w:ascii="Calibri" w:hAnsi="Calibri" w:cs="Calibri"/>
          <w:sz w:val="22"/>
          <w:szCs w:val="22"/>
        </w:rPr>
      </w:pPr>
      <w:r w:rsidRPr="0085711E">
        <w:rPr>
          <w:rFonts w:ascii="Calibri" w:hAnsi="Calibri" w:cs="Calibri"/>
          <w:sz w:val="22"/>
          <w:szCs w:val="22"/>
        </w:rPr>
        <w:t xml:space="preserve">The meeting of OIML TC 6 </w:t>
      </w:r>
      <w:r w:rsidRPr="0085711E">
        <w:rPr>
          <w:rFonts w:ascii="Calibri" w:hAnsi="Calibri" w:cs="Calibri"/>
          <w:i/>
          <w:iCs/>
          <w:sz w:val="22"/>
          <w:szCs w:val="22"/>
        </w:rPr>
        <w:t>Pre-packaged products</w:t>
      </w:r>
      <w:r w:rsidRPr="0085711E">
        <w:rPr>
          <w:rStyle w:val="BodyTextChar"/>
          <w:rFonts w:ascii="Calibri" w:hAnsi="Calibri" w:cs="Calibri"/>
          <w:sz w:val="22"/>
          <w:szCs w:val="22"/>
        </w:rPr>
        <w:t xml:space="preserve"> took place in </w:t>
      </w:r>
      <w:r>
        <w:rPr>
          <w:rStyle w:val="BodyTextChar"/>
          <w:rFonts w:ascii="Calibri" w:hAnsi="Calibri" w:cs="Calibri"/>
          <w:sz w:val="22"/>
          <w:szCs w:val="22"/>
        </w:rPr>
        <w:t>Seou</w:t>
      </w:r>
      <w:r w:rsidR="007D4072">
        <w:rPr>
          <w:rStyle w:val="BodyTextChar"/>
          <w:rFonts w:ascii="Calibri" w:hAnsi="Calibri" w:cs="Calibri"/>
          <w:sz w:val="22"/>
          <w:szCs w:val="22"/>
        </w:rPr>
        <w:t>l</w:t>
      </w:r>
      <w:r>
        <w:rPr>
          <w:rStyle w:val="BodyTextChar"/>
          <w:rFonts w:ascii="Calibri" w:hAnsi="Calibri" w:cs="Calibri"/>
          <w:sz w:val="22"/>
          <w:szCs w:val="22"/>
        </w:rPr>
        <w:t>, Korea 15</w:t>
      </w:r>
      <w:r>
        <w:rPr>
          <w:rStyle w:val="BodyTextChar"/>
          <w:rFonts w:ascii="Calibri" w:hAnsi="Calibri" w:cs="Calibri"/>
          <w:sz w:val="22"/>
          <w:szCs w:val="22"/>
          <w:vertAlign w:val="superscript"/>
        </w:rPr>
        <w:t xml:space="preserve"> </w:t>
      </w:r>
      <w:r>
        <w:rPr>
          <w:rFonts w:ascii="Calibri" w:hAnsi="Calibri" w:cs="Calibri"/>
          <w:sz w:val="22"/>
          <w:szCs w:val="22"/>
        </w:rPr>
        <w:t xml:space="preserve">– 19 </w:t>
      </w:r>
      <w:r w:rsidRPr="0085711E">
        <w:rPr>
          <w:rFonts w:ascii="Calibri" w:hAnsi="Calibri" w:cs="Calibri"/>
          <w:sz w:val="22"/>
          <w:szCs w:val="22"/>
        </w:rPr>
        <w:t>September 201</w:t>
      </w:r>
      <w:r>
        <w:rPr>
          <w:rFonts w:ascii="Calibri" w:hAnsi="Calibri" w:cs="Calibri"/>
          <w:sz w:val="22"/>
          <w:szCs w:val="22"/>
        </w:rPr>
        <w:t>4</w:t>
      </w:r>
      <w:r w:rsidRPr="0085711E">
        <w:rPr>
          <w:rFonts w:ascii="Calibri" w:hAnsi="Calibri" w:cs="Calibri"/>
          <w:sz w:val="22"/>
          <w:szCs w:val="22"/>
        </w:rPr>
        <w:t>. T</w:t>
      </w:r>
      <w:r w:rsidRPr="0085711E">
        <w:rPr>
          <w:rStyle w:val="BodyTextChar"/>
          <w:rFonts w:ascii="Calibri" w:hAnsi="Calibri" w:cs="Calibri"/>
          <w:sz w:val="22"/>
          <w:szCs w:val="22"/>
        </w:rPr>
        <w:t>he meeting was attended by 1</w:t>
      </w:r>
      <w:r>
        <w:rPr>
          <w:rStyle w:val="BodyTextChar"/>
          <w:rFonts w:ascii="Calibri" w:hAnsi="Calibri" w:cs="Calibri"/>
          <w:sz w:val="22"/>
          <w:szCs w:val="22"/>
        </w:rPr>
        <w:t>5</w:t>
      </w:r>
      <w:r w:rsidRPr="0085711E">
        <w:rPr>
          <w:rStyle w:val="BodyTextChar"/>
          <w:rFonts w:ascii="Calibri" w:hAnsi="Calibri" w:cs="Calibri"/>
          <w:sz w:val="22"/>
          <w:szCs w:val="22"/>
        </w:rPr>
        <w:t xml:space="preserve"> of the 28 permanent members and covered the revision of the documents OIML R79</w:t>
      </w:r>
      <w:r>
        <w:rPr>
          <w:rStyle w:val="BodyTextChar"/>
          <w:rFonts w:ascii="Calibri" w:hAnsi="Calibri" w:cs="Calibri"/>
          <w:sz w:val="22"/>
          <w:szCs w:val="22"/>
        </w:rPr>
        <w:t xml:space="preserve">, </w:t>
      </w:r>
      <w:r w:rsidRPr="0085711E">
        <w:rPr>
          <w:rStyle w:val="BodyTextChar"/>
          <w:rFonts w:ascii="Calibri" w:hAnsi="Calibri" w:cs="Calibri"/>
          <w:sz w:val="22"/>
          <w:szCs w:val="22"/>
        </w:rPr>
        <w:t>OIML R87</w:t>
      </w:r>
      <w:r>
        <w:rPr>
          <w:rStyle w:val="BodyTextChar"/>
          <w:rFonts w:ascii="Calibri" w:hAnsi="Calibri" w:cs="Calibri"/>
          <w:sz w:val="22"/>
          <w:szCs w:val="22"/>
        </w:rPr>
        <w:t xml:space="preserve"> and the Guide for the Certification of Prepackages</w:t>
      </w:r>
      <w:r w:rsidRPr="0085711E">
        <w:rPr>
          <w:rStyle w:val="BodyTextChar"/>
          <w:rFonts w:ascii="Calibri" w:hAnsi="Calibri" w:cs="Calibri"/>
          <w:sz w:val="22"/>
          <w:szCs w:val="22"/>
        </w:rPr>
        <w:t>.</w:t>
      </w:r>
    </w:p>
    <w:p w:rsidR="00572F64" w:rsidRPr="0085711E" w:rsidRDefault="00572F64" w:rsidP="00572F64">
      <w:pPr>
        <w:rPr>
          <w:rStyle w:val="BodyTextChar"/>
          <w:rFonts w:ascii="Calibri" w:hAnsi="Calibri" w:cs="Calibri"/>
          <w:sz w:val="22"/>
          <w:szCs w:val="22"/>
        </w:rPr>
      </w:pPr>
    </w:p>
    <w:p w:rsidR="00572F64" w:rsidRPr="0085711E" w:rsidRDefault="00572F64" w:rsidP="00572F64">
      <w:pPr>
        <w:rPr>
          <w:rStyle w:val="BodyTextChar"/>
          <w:rFonts w:ascii="Calibri" w:hAnsi="Calibri" w:cs="Calibri"/>
          <w:sz w:val="22"/>
          <w:szCs w:val="22"/>
        </w:rPr>
      </w:pPr>
      <w:r w:rsidRPr="0085711E">
        <w:rPr>
          <w:rStyle w:val="BodyTextChar"/>
          <w:rFonts w:ascii="Calibri" w:hAnsi="Calibri" w:cs="Calibri"/>
          <w:sz w:val="22"/>
          <w:szCs w:val="22"/>
        </w:rPr>
        <w:t>The following decisions were made:</w:t>
      </w:r>
    </w:p>
    <w:p w:rsidR="00572F64" w:rsidRPr="0085711E" w:rsidRDefault="00572F64" w:rsidP="00572F64">
      <w:pPr>
        <w:rPr>
          <w:rFonts w:ascii="Calibri" w:hAnsi="Calibri" w:cs="Calibri"/>
          <w:sz w:val="22"/>
          <w:szCs w:val="22"/>
        </w:rPr>
      </w:pPr>
    </w:p>
    <w:p w:rsidR="00572F64" w:rsidRPr="0085711E" w:rsidRDefault="00572F64" w:rsidP="00572F64">
      <w:pPr>
        <w:rPr>
          <w:rFonts w:ascii="Calibri" w:hAnsi="Calibri" w:cs="Calibri"/>
          <w:b/>
          <w:sz w:val="22"/>
          <w:szCs w:val="22"/>
        </w:rPr>
      </w:pPr>
      <w:r w:rsidRPr="0085711E">
        <w:rPr>
          <w:rFonts w:ascii="Calibri" w:hAnsi="Calibri" w:cs="Calibri"/>
          <w:b/>
          <w:sz w:val="22"/>
          <w:szCs w:val="22"/>
        </w:rPr>
        <w:t>OIML R79 Revision</w:t>
      </w:r>
    </w:p>
    <w:p w:rsidR="00572F64" w:rsidRPr="0085711E" w:rsidRDefault="00572F64" w:rsidP="00572F64">
      <w:pPr>
        <w:rPr>
          <w:rFonts w:ascii="Calibri" w:hAnsi="Calibri" w:cs="Calibri"/>
          <w:b/>
          <w:sz w:val="22"/>
          <w:szCs w:val="22"/>
        </w:rPr>
      </w:pPr>
    </w:p>
    <w:p w:rsidR="00572F64" w:rsidRPr="00122D95" w:rsidRDefault="00122D95" w:rsidP="00572F64">
      <w:pPr>
        <w:numPr>
          <w:ilvl w:val="0"/>
          <w:numId w:val="1"/>
        </w:numPr>
        <w:ind w:left="540" w:hanging="540"/>
        <w:rPr>
          <w:rFonts w:ascii="Calibri" w:hAnsi="Calibri" w:cs="Calibri"/>
          <w:b/>
          <w:sz w:val="22"/>
          <w:szCs w:val="22"/>
        </w:rPr>
      </w:pPr>
      <w:r>
        <w:rPr>
          <w:rFonts w:ascii="Calibri" w:hAnsi="Calibri" w:cs="Calibri"/>
          <w:sz w:val="22"/>
          <w:szCs w:val="22"/>
        </w:rPr>
        <w:t xml:space="preserve">Committee Draft 5 of the R79 revision had received a positive vote from the majority of P-members. If there </w:t>
      </w:r>
      <w:r w:rsidR="00B72574">
        <w:rPr>
          <w:rFonts w:ascii="Calibri" w:hAnsi="Calibri" w:cs="Calibri"/>
          <w:sz w:val="22"/>
          <w:szCs w:val="22"/>
        </w:rPr>
        <w:t>were only editorial changes</w:t>
      </w:r>
      <w:r>
        <w:rPr>
          <w:rFonts w:ascii="Calibri" w:hAnsi="Calibri" w:cs="Calibri"/>
          <w:sz w:val="22"/>
          <w:szCs w:val="22"/>
        </w:rPr>
        <w:t xml:space="preserve"> made during the meeting</w:t>
      </w:r>
      <w:r w:rsidR="00B72574">
        <w:rPr>
          <w:rFonts w:ascii="Calibri" w:hAnsi="Calibri" w:cs="Calibri"/>
          <w:sz w:val="22"/>
          <w:szCs w:val="22"/>
        </w:rPr>
        <w:t>,</w:t>
      </w:r>
      <w:r>
        <w:rPr>
          <w:rFonts w:ascii="Calibri" w:hAnsi="Calibri" w:cs="Calibri"/>
          <w:sz w:val="22"/>
          <w:szCs w:val="22"/>
        </w:rPr>
        <w:t xml:space="preserve"> then it would be </w:t>
      </w:r>
      <w:r w:rsidRPr="00122D95">
        <w:rPr>
          <w:rFonts w:ascii="Calibri" w:hAnsi="Calibri" w:cs="Calibri"/>
          <w:sz w:val="22"/>
          <w:szCs w:val="22"/>
        </w:rPr>
        <w:t>submitted to the BIML for registrat</w:t>
      </w:r>
      <w:r w:rsidR="00B72574">
        <w:rPr>
          <w:rFonts w:ascii="Calibri" w:hAnsi="Calibri" w:cs="Calibri"/>
          <w:sz w:val="22"/>
          <w:szCs w:val="22"/>
        </w:rPr>
        <w:t>ion as a draft publication and forwarded to</w:t>
      </w:r>
      <w:r w:rsidRPr="00122D95">
        <w:rPr>
          <w:rFonts w:ascii="Calibri" w:hAnsi="Calibri" w:cs="Calibri"/>
          <w:sz w:val="22"/>
          <w:szCs w:val="22"/>
        </w:rPr>
        <w:t xml:space="preserve"> CIML preliminary ballot.</w:t>
      </w:r>
    </w:p>
    <w:p w:rsidR="00122D95" w:rsidRPr="00122D95" w:rsidRDefault="00122D95" w:rsidP="00122D95">
      <w:pPr>
        <w:ind w:left="540"/>
        <w:rPr>
          <w:rFonts w:ascii="Calibri" w:hAnsi="Calibri" w:cs="Calibri"/>
          <w:b/>
          <w:sz w:val="22"/>
          <w:szCs w:val="22"/>
        </w:rPr>
      </w:pPr>
    </w:p>
    <w:p w:rsidR="008F126D" w:rsidRDefault="008F126D" w:rsidP="003F2FF8">
      <w:pPr>
        <w:numPr>
          <w:ilvl w:val="0"/>
          <w:numId w:val="1"/>
        </w:numPr>
        <w:ind w:left="540" w:hanging="540"/>
        <w:rPr>
          <w:rFonts w:ascii="Calibri" w:hAnsi="Calibri" w:cs="Calibri"/>
          <w:sz w:val="22"/>
          <w:szCs w:val="22"/>
        </w:rPr>
      </w:pPr>
      <w:r>
        <w:rPr>
          <w:rFonts w:ascii="Calibri" w:hAnsi="Calibri" w:cs="Calibri"/>
          <w:sz w:val="22"/>
          <w:szCs w:val="22"/>
        </w:rPr>
        <w:t xml:space="preserve">The definition of ‘Principle Display Panel’ within CD5 of R79 is </w:t>
      </w:r>
    </w:p>
    <w:p w:rsidR="003F2FF8" w:rsidRDefault="003F2FF8" w:rsidP="003F2FF8">
      <w:pPr>
        <w:pStyle w:val="ListParagraph"/>
        <w:rPr>
          <w:rFonts w:ascii="Calibri" w:hAnsi="Calibri" w:cs="Calibri"/>
          <w:sz w:val="22"/>
          <w:szCs w:val="22"/>
        </w:rPr>
      </w:pPr>
    </w:p>
    <w:p w:rsidR="008F126D" w:rsidRPr="003F2FF8" w:rsidRDefault="008F126D" w:rsidP="003F2FF8">
      <w:pPr>
        <w:pStyle w:val="CM16"/>
        <w:spacing w:after="0" w:line="260" w:lineRule="atLeast"/>
        <w:ind w:firstLine="540"/>
        <w:jc w:val="both"/>
        <w:rPr>
          <w:rFonts w:ascii="Calibri" w:hAnsi="Calibri" w:cs="Calibri"/>
          <w:i/>
          <w:sz w:val="22"/>
          <w:szCs w:val="22"/>
          <w:lang w:val="en-GB"/>
        </w:rPr>
      </w:pPr>
      <w:proofErr w:type="gramStart"/>
      <w:r w:rsidRPr="003F2FF8">
        <w:rPr>
          <w:rFonts w:ascii="Calibri" w:hAnsi="Calibri" w:cs="Calibri"/>
          <w:i/>
          <w:sz w:val="22"/>
          <w:szCs w:val="22"/>
          <w:lang w:val="en-GB"/>
        </w:rPr>
        <w:t>“The part of a package that is designed to be visible under normal conditions of display for sale.</w:t>
      </w:r>
      <w:proofErr w:type="gramEnd"/>
      <w:r w:rsidRPr="003F2FF8">
        <w:rPr>
          <w:rFonts w:ascii="Calibri" w:hAnsi="Calibri" w:cs="Calibri"/>
          <w:i/>
          <w:sz w:val="22"/>
          <w:szCs w:val="22"/>
          <w:lang w:val="en-GB"/>
        </w:rPr>
        <w:t xml:space="preserve"> </w:t>
      </w:r>
    </w:p>
    <w:p w:rsidR="008F126D" w:rsidRPr="003F2FF8" w:rsidRDefault="008F126D" w:rsidP="008F126D">
      <w:pPr>
        <w:ind w:firstLine="540"/>
        <w:rPr>
          <w:rFonts w:ascii="Calibri" w:hAnsi="Calibri" w:cs="Calibri"/>
          <w:i/>
          <w:sz w:val="22"/>
          <w:szCs w:val="22"/>
        </w:rPr>
      </w:pPr>
      <w:r w:rsidRPr="003F2FF8">
        <w:rPr>
          <w:rFonts w:ascii="Calibri" w:hAnsi="Calibri" w:cs="Calibri"/>
          <w:i/>
          <w:sz w:val="22"/>
          <w:szCs w:val="22"/>
        </w:rPr>
        <w:t>Note:</w:t>
      </w:r>
      <w:r w:rsidR="003F2FF8" w:rsidRPr="003F2FF8">
        <w:rPr>
          <w:rFonts w:ascii="Calibri" w:hAnsi="Calibri" w:cs="Calibri"/>
          <w:i/>
          <w:sz w:val="22"/>
          <w:szCs w:val="22"/>
        </w:rPr>
        <w:t xml:space="preserve"> </w:t>
      </w:r>
      <w:r w:rsidRPr="003F2FF8">
        <w:rPr>
          <w:rFonts w:ascii="Calibri" w:hAnsi="Calibri" w:cs="Calibri"/>
          <w:i/>
          <w:sz w:val="22"/>
          <w:szCs w:val="22"/>
        </w:rPr>
        <w:t xml:space="preserve">This is normally the main or front panel of </w:t>
      </w:r>
      <w:proofErr w:type="gramStart"/>
      <w:r w:rsidRPr="003F2FF8">
        <w:rPr>
          <w:rFonts w:ascii="Calibri" w:hAnsi="Calibri" w:cs="Calibri"/>
          <w:i/>
          <w:sz w:val="22"/>
          <w:szCs w:val="22"/>
        </w:rPr>
        <w:t>the prepackage</w:t>
      </w:r>
      <w:proofErr w:type="gramEnd"/>
      <w:r w:rsidRPr="003F2FF8">
        <w:rPr>
          <w:rFonts w:ascii="Calibri" w:hAnsi="Calibri" w:cs="Calibri"/>
          <w:i/>
          <w:sz w:val="22"/>
          <w:szCs w:val="22"/>
        </w:rPr>
        <w:t xml:space="preserve"> and there could be more than one.”</w:t>
      </w:r>
    </w:p>
    <w:p w:rsidR="008F126D" w:rsidRPr="003F2FF8" w:rsidRDefault="008F126D" w:rsidP="008F126D">
      <w:pPr>
        <w:rPr>
          <w:rFonts w:ascii="Calibri" w:hAnsi="Calibri" w:cs="Calibri"/>
          <w:sz w:val="22"/>
          <w:szCs w:val="22"/>
        </w:rPr>
      </w:pPr>
    </w:p>
    <w:p w:rsidR="008F126D" w:rsidRPr="003F2FF8" w:rsidRDefault="008F126D" w:rsidP="008F126D">
      <w:pPr>
        <w:ind w:left="540"/>
        <w:rPr>
          <w:rFonts w:ascii="Calibri" w:hAnsi="Calibri" w:cs="Calibri"/>
          <w:sz w:val="22"/>
          <w:szCs w:val="22"/>
        </w:rPr>
      </w:pPr>
      <w:r w:rsidRPr="003F2FF8">
        <w:rPr>
          <w:rFonts w:ascii="Calibri" w:hAnsi="Calibri" w:cs="Calibri"/>
          <w:sz w:val="22"/>
          <w:szCs w:val="22"/>
        </w:rPr>
        <w:t xml:space="preserve">The </w:t>
      </w:r>
      <w:r w:rsidR="00B72574">
        <w:rPr>
          <w:rFonts w:ascii="Calibri" w:hAnsi="Calibri" w:cs="Calibri"/>
          <w:sz w:val="22"/>
          <w:szCs w:val="22"/>
        </w:rPr>
        <w:t>T</w:t>
      </w:r>
      <w:r w:rsidRPr="003F2FF8">
        <w:rPr>
          <w:rFonts w:ascii="Calibri" w:hAnsi="Calibri" w:cs="Calibri"/>
          <w:sz w:val="22"/>
          <w:szCs w:val="22"/>
        </w:rPr>
        <w:t xml:space="preserve">echnical </w:t>
      </w:r>
      <w:r w:rsidR="00B72574">
        <w:rPr>
          <w:rFonts w:ascii="Calibri" w:hAnsi="Calibri" w:cs="Calibri"/>
          <w:sz w:val="22"/>
          <w:szCs w:val="22"/>
        </w:rPr>
        <w:t>C</w:t>
      </w:r>
      <w:r w:rsidRPr="003F2FF8">
        <w:rPr>
          <w:rFonts w:ascii="Calibri" w:hAnsi="Calibri" w:cs="Calibri"/>
          <w:sz w:val="22"/>
          <w:szCs w:val="22"/>
        </w:rPr>
        <w:t xml:space="preserve">ommittee </w:t>
      </w:r>
      <w:r w:rsidR="00B72574">
        <w:rPr>
          <w:rFonts w:ascii="Calibri" w:hAnsi="Calibri" w:cs="Calibri"/>
          <w:sz w:val="22"/>
          <w:szCs w:val="22"/>
        </w:rPr>
        <w:t>agreed</w:t>
      </w:r>
      <w:r w:rsidRPr="003F2FF8">
        <w:rPr>
          <w:rFonts w:ascii="Calibri" w:hAnsi="Calibri" w:cs="Calibri"/>
          <w:sz w:val="22"/>
          <w:szCs w:val="22"/>
        </w:rPr>
        <w:t xml:space="preserve"> that both the product identity as well as the quantity declaration shall be displayed on the same panel that should be visible to consumers under normal conditions of display. This is the position that will be presented to CIML members with the vote request.</w:t>
      </w:r>
    </w:p>
    <w:p w:rsidR="008F126D" w:rsidRPr="003F2FF8" w:rsidRDefault="008F126D" w:rsidP="008F126D">
      <w:pPr>
        <w:pStyle w:val="ListParagraph"/>
        <w:rPr>
          <w:rFonts w:ascii="Calibri" w:hAnsi="Calibri" w:cs="Calibri"/>
          <w:sz w:val="22"/>
          <w:szCs w:val="22"/>
        </w:rPr>
      </w:pPr>
    </w:p>
    <w:p w:rsidR="008F126D" w:rsidRDefault="008F126D" w:rsidP="003F2FF8">
      <w:pPr>
        <w:ind w:left="540" w:firstLine="27"/>
        <w:rPr>
          <w:rFonts w:ascii="Calibri" w:hAnsi="Calibri" w:cs="Calibri"/>
          <w:sz w:val="22"/>
          <w:szCs w:val="22"/>
        </w:rPr>
      </w:pPr>
      <w:r w:rsidRPr="003F2FF8">
        <w:rPr>
          <w:rFonts w:ascii="Calibri" w:hAnsi="Calibri" w:cs="Calibri"/>
          <w:sz w:val="22"/>
          <w:szCs w:val="22"/>
        </w:rPr>
        <w:t xml:space="preserve">To be compliant with R79, </w:t>
      </w:r>
      <w:r w:rsidR="00B72574">
        <w:rPr>
          <w:rFonts w:ascii="Calibri" w:hAnsi="Calibri" w:cs="Calibri"/>
          <w:sz w:val="22"/>
          <w:szCs w:val="22"/>
        </w:rPr>
        <w:t>a</w:t>
      </w:r>
      <w:r w:rsidRPr="003F2FF8">
        <w:rPr>
          <w:rFonts w:ascii="Calibri" w:hAnsi="Calibri" w:cs="Calibri"/>
          <w:sz w:val="22"/>
          <w:szCs w:val="22"/>
        </w:rPr>
        <w:t xml:space="preserve"> manufacturer must design a package so that both the quantity </w:t>
      </w:r>
      <w:r w:rsidR="003F2FF8" w:rsidRPr="003F2FF8">
        <w:rPr>
          <w:rFonts w:ascii="Calibri" w:hAnsi="Calibri" w:cs="Calibri"/>
          <w:sz w:val="22"/>
          <w:szCs w:val="22"/>
        </w:rPr>
        <w:t>declarati</w:t>
      </w:r>
      <w:r w:rsidR="003F2FF8">
        <w:rPr>
          <w:rFonts w:ascii="Calibri" w:hAnsi="Calibri" w:cs="Calibri"/>
          <w:sz w:val="22"/>
          <w:szCs w:val="22"/>
        </w:rPr>
        <w:t>o</w:t>
      </w:r>
      <w:r w:rsidR="003F2FF8" w:rsidRPr="003F2FF8">
        <w:rPr>
          <w:rFonts w:ascii="Calibri" w:hAnsi="Calibri" w:cs="Calibri"/>
          <w:sz w:val="22"/>
          <w:szCs w:val="22"/>
        </w:rPr>
        <w:t>n</w:t>
      </w:r>
      <w:r w:rsidRPr="003F2FF8">
        <w:rPr>
          <w:rFonts w:ascii="Calibri" w:hAnsi="Calibri" w:cs="Calibri"/>
          <w:sz w:val="22"/>
          <w:szCs w:val="22"/>
        </w:rPr>
        <w:t xml:space="preserve"> and the product identity are displayed on the same panel. Normally </w:t>
      </w:r>
      <w:r w:rsidR="003F2FF8" w:rsidRPr="003F2FF8">
        <w:rPr>
          <w:rFonts w:ascii="Calibri" w:hAnsi="Calibri" w:cs="Calibri"/>
          <w:sz w:val="22"/>
          <w:szCs w:val="22"/>
        </w:rPr>
        <w:t xml:space="preserve">this is the </w:t>
      </w:r>
      <w:r w:rsidRPr="003F2FF8">
        <w:rPr>
          <w:rFonts w:ascii="Calibri" w:hAnsi="Calibri" w:cs="Calibri"/>
          <w:sz w:val="22"/>
          <w:szCs w:val="22"/>
        </w:rPr>
        <w:t>front panel but not always. For example lipstick</w:t>
      </w:r>
      <w:r w:rsidR="00B72574">
        <w:rPr>
          <w:rFonts w:ascii="Calibri" w:hAnsi="Calibri" w:cs="Calibri"/>
          <w:sz w:val="22"/>
          <w:szCs w:val="22"/>
        </w:rPr>
        <w:t>,</w:t>
      </w:r>
      <w:r w:rsidRPr="003F2FF8">
        <w:rPr>
          <w:rFonts w:ascii="Calibri" w:hAnsi="Calibri" w:cs="Calibri"/>
          <w:sz w:val="22"/>
          <w:szCs w:val="22"/>
        </w:rPr>
        <w:t xml:space="preserve"> may be displayed vertically to the purchaser</w:t>
      </w:r>
      <w:r w:rsidR="003F2FF8" w:rsidRPr="003F2FF8">
        <w:rPr>
          <w:rFonts w:ascii="Calibri" w:hAnsi="Calibri" w:cs="Calibri"/>
          <w:sz w:val="22"/>
          <w:szCs w:val="22"/>
        </w:rPr>
        <w:t xml:space="preserve"> but there is not enough surface space for this information</w:t>
      </w:r>
      <w:r w:rsidRPr="003F2FF8">
        <w:rPr>
          <w:rFonts w:ascii="Calibri" w:hAnsi="Calibri" w:cs="Calibri"/>
          <w:sz w:val="22"/>
          <w:szCs w:val="22"/>
        </w:rPr>
        <w:t>.</w:t>
      </w:r>
      <w:r w:rsidR="003F2FF8">
        <w:rPr>
          <w:rFonts w:ascii="Calibri" w:hAnsi="Calibri" w:cs="Calibri"/>
          <w:sz w:val="22"/>
          <w:szCs w:val="22"/>
        </w:rPr>
        <w:t xml:space="preserve"> </w:t>
      </w:r>
      <w:r w:rsidR="003F2FF8" w:rsidRPr="003F2FF8">
        <w:rPr>
          <w:rFonts w:ascii="Calibri" w:hAnsi="Calibri" w:cs="Calibri"/>
          <w:sz w:val="22"/>
          <w:szCs w:val="22"/>
        </w:rPr>
        <w:t>Manufacturer</w:t>
      </w:r>
      <w:r w:rsidR="003F2FF8">
        <w:rPr>
          <w:rFonts w:ascii="Calibri" w:hAnsi="Calibri" w:cs="Calibri"/>
          <w:sz w:val="22"/>
          <w:szCs w:val="22"/>
        </w:rPr>
        <w:t>s</w:t>
      </w:r>
      <w:r w:rsidR="003F2FF8" w:rsidRPr="003F2FF8">
        <w:rPr>
          <w:rFonts w:ascii="Calibri" w:hAnsi="Calibri" w:cs="Calibri"/>
          <w:sz w:val="22"/>
          <w:szCs w:val="22"/>
        </w:rPr>
        <w:t xml:space="preserve"> do not have control on how the retailer then places the product on the shelf.</w:t>
      </w:r>
    </w:p>
    <w:p w:rsidR="003F2FF8" w:rsidRDefault="003F2FF8" w:rsidP="003F2FF8">
      <w:pPr>
        <w:rPr>
          <w:rFonts w:ascii="Calibri" w:hAnsi="Calibri" w:cs="Calibri"/>
          <w:sz w:val="22"/>
          <w:szCs w:val="22"/>
        </w:rPr>
      </w:pPr>
    </w:p>
    <w:p w:rsidR="000D5213" w:rsidRDefault="003F2FF8" w:rsidP="000D5213">
      <w:pPr>
        <w:pStyle w:val="ListParagraph"/>
        <w:numPr>
          <w:ilvl w:val="0"/>
          <w:numId w:val="1"/>
        </w:numPr>
        <w:spacing w:after="200" w:line="276" w:lineRule="auto"/>
        <w:ind w:left="567" w:hanging="567"/>
        <w:contextualSpacing/>
        <w:rPr>
          <w:rFonts w:ascii="Calibri" w:hAnsi="Calibri" w:cs="Calibri"/>
          <w:sz w:val="22"/>
          <w:szCs w:val="22"/>
        </w:rPr>
      </w:pPr>
      <w:r w:rsidRPr="003F2FF8">
        <w:rPr>
          <w:rFonts w:ascii="Calibri" w:hAnsi="Calibri" w:cs="Calibri"/>
          <w:sz w:val="22"/>
          <w:szCs w:val="22"/>
        </w:rPr>
        <w:t>The Annex in R87, ‘Misleading prepackages (informative)</w:t>
      </w:r>
      <w:r w:rsidR="00FB7E7D">
        <w:rPr>
          <w:rFonts w:ascii="Calibri" w:hAnsi="Calibri" w:cs="Calibri"/>
          <w:sz w:val="22"/>
          <w:szCs w:val="22"/>
        </w:rPr>
        <w:t>’</w:t>
      </w:r>
      <w:r w:rsidRPr="003F2FF8">
        <w:rPr>
          <w:rFonts w:ascii="Calibri" w:hAnsi="Calibri" w:cs="Calibri"/>
          <w:sz w:val="22"/>
          <w:szCs w:val="22"/>
        </w:rPr>
        <w:t xml:space="preserve"> is to be relocated within the section Misleading Practices contained in R79 and aligned.</w:t>
      </w:r>
      <w:r w:rsidR="00FB7E7D">
        <w:rPr>
          <w:rFonts w:ascii="Calibri" w:hAnsi="Calibri" w:cs="Calibri"/>
          <w:sz w:val="22"/>
          <w:szCs w:val="22"/>
        </w:rPr>
        <w:t xml:space="preserve"> This was to remove duplication between the two documents and </w:t>
      </w:r>
      <w:r w:rsidR="0005233B">
        <w:rPr>
          <w:rFonts w:ascii="Calibri" w:hAnsi="Calibri" w:cs="Calibri"/>
          <w:sz w:val="22"/>
          <w:szCs w:val="22"/>
        </w:rPr>
        <w:t xml:space="preserve">that R79 covers both random nominal quantities and constant nominal quantities, </w:t>
      </w:r>
      <w:r w:rsidR="00C90DDC">
        <w:rPr>
          <w:rFonts w:ascii="Calibri" w:hAnsi="Calibri" w:cs="Calibri"/>
          <w:sz w:val="22"/>
          <w:szCs w:val="22"/>
        </w:rPr>
        <w:t>whereas</w:t>
      </w:r>
      <w:r w:rsidR="0005233B">
        <w:rPr>
          <w:rFonts w:ascii="Calibri" w:hAnsi="Calibri" w:cs="Calibri"/>
          <w:sz w:val="22"/>
          <w:szCs w:val="22"/>
        </w:rPr>
        <w:t xml:space="preserve"> R</w:t>
      </w:r>
      <w:r w:rsidR="00C90DDC">
        <w:rPr>
          <w:rFonts w:ascii="Calibri" w:hAnsi="Calibri" w:cs="Calibri"/>
          <w:sz w:val="22"/>
          <w:szCs w:val="22"/>
        </w:rPr>
        <w:t xml:space="preserve">87 only covers constant nominal quantities. </w:t>
      </w:r>
    </w:p>
    <w:p w:rsidR="000D5213" w:rsidRDefault="000D5213" w:rsidP="000D5213">
      <w:pPr>
        <w:pStyle w:val="ListParagraph"/>
        <w:spacing w:after="200" w:line="276" w:lineRule="auto"/>
        <w:ind w:left="567"/>
        <w:contextualSpacing/>
        <w:rPr>
          <w:rFonts w:ascii="Calibri" w:hAnsi="Calibri" w:cs="Calibri"/>
          <w:sz w:val="22"/>
          <w:szCs w:val="22"/>
        </w:rPr>
      </w:pPr>
    </w:p>
    <w:p w:rsidR="008F126D" w:rsidRPr="000D5213" w:rsidRDefault="000D5213" w:rsidP="000D5213">
      <w:pPr>
        <w:pStyle w:val="ListParagraph"/>
        <w:numPr>
          <w:ilvl w:val="0"/>
          <w:numId w:val="1"/>
        </w:numPr>
        <w:spacing w:after="200" w:line="276" w:lineRule="auto"/>
        <w:ind w:left="567" w:hanging="567"/>
        <w:contextualSpacing/>
        <w:rPr>
          <w:rFonts w:ascii="Calibri" w:hAnsi="Calibri" w:cs="Calibri"/>
          <w:sz w:val="22"/>
          <w:szCs w:val="22"/>
        </w:rPr>
      </w:pPr>
      <w:r w:rsidRPr="000D5213">
        <w:rPr>
          <w:rFonts w:ascii="Calibri" w:hAnsi="Calibri" w:cs="Calibri"/>
          <w:sz w:val="22"/>
          <w:szCs w:val="22"/>
        </w:rPr>
        <w:t xml:space="preserve">The final version of R 79 will be submitted to the BIML for registration as a draft publication and </w:t>
      </w:r>
      <w:r>
        <w:rPr>
          <w:rFonts w:ascii="Calibri" w:hAnsi="Calibri" w:cs="Calibri"/>
          <w:sz w:val="22"/>
          <w:szCs w:val="22"/>
        </w:rPr>
        <w:t xml:space="preserve">then </w:t>
      </w:r>
      <w:r w:rsidRPr="000D5213">
        <w:rPr>
          <w:rFonts w:ascii="Calibri" w:hAnsi="Calibri" w:cs="Calibri"/>
          <w:sz w:val="22"/>
          <w:szCs w:val="22"/>
        </w:rPr>
        <w:t>be sent to CIML for preliminary ballot.</w:t>
      </w:r>
      <w:r w:rsidRPr="000D5213">
        <w:rPr>
          <w:highlight w:val="cyan"/>
        </w:rPr>
        <w:t xml:space="preserve"> </w:t>
      </w:r>
    </w:p>
    <w:p w:rsidR="00572F64" w:rsidRPr="0085711E" w:rsidRDefault="00572F64" w:rsidP="00572F64">
      <w:pPr>
        <w:rPr>
          <w:rFonts w:ascii="Calibri" w:hAnsi="Calibri" w:cs="Calibri"/>
          <w:b/>
          <w:sz w:val="22"/>
          <w:szCs w:val="22"/>
        </w:rPr>
      </w:pPr>
      <w:r w:rsidRPr="0085711E">
        <w:rPr>
          <w:rFonts w:ascii="Calibri" w:hAnsi="Calibri" w:cs="Calibri"/>
          <w:b/>
          <w:sz w:val="22"/>
          <w:szCs w:val="22"/>
        </w:rPr>
        <w:t>OIML R87 Revision</w:t>
      </w:r>
    </w:p>
    <w:p w:rsidR="00572F64" w:rsidRPr="0085711E" w:rsidRDefault="00572F64" w:rsidP="00572F64">
      <w:pPr>
        <w:ind w:left="540" w:hanging="540"/>
        <w:rPr>
          <w:rFonts w:ascii="Calibri" w:hAnsi="Calibri" w:cs="Calibri"/>
          <w:sz w:val="22"/>
          <w:szCs w:val="22"/>
          <w:lang w:val="en-US"/>
        </w:rPr>
      </w:pPr>
    </w:p>
    <w:p w:rsidR="00B63D1D" w:rsidRDefault="00B63D1D" w:rsidP="00B63D1D">
      <w:pPr>
        <w:numPr>
          <w:ilvl w:val="0"/>
          <w:numId w:val="2"/>
        </w:numPr>
        <w:ind w:hanging="578"/>
        <w:rPr>
          <w:rFonts w:ascii="Calibri" w:hAnsi="Calibri" w:cs="Calibri"/>
          <w:sz w:val="22"/>
          <w:szCs w:val="22"/>
        </w:rPr>
      </w:pPr>
      <w:r>
        <w:rPr>
          <w:rFonts w:ascii="Calibri" w:hAnsi="Calibri" w:cs="Calibri"/>
          <w:sz w:val="22"/>
          <w:szCs w:val="22"/>
        </w:rPr>
        <w:t>Committee Draft 3</w:t>
      </w:r>
      <w:r w:rsidRPr="00B63D1D">
        <w:rPr>
          <w:rFonts w:ascii="Calibri" w:hAnsi="Calibri" w:cs="Calibri"/>
          <w:sz w:val="22"/>
          <w:szCs w:val="22"/>
        </w:rPr>
        <w:t xml:space="preserve"> of the R</w:t>
      </w:r>
      <w:r>
        <w:rPr>
          <w:rFonts w:ascii="Calibri" w:hAnsi="Calibri" w:cs="Calibri"/>
          <w:sz w:val="22"/>
          <w:szCs w:val="22"/>
        </w:rPr>
        <w:t>8</w:t>
      </w:r>
      <w:r w:rsidRPr="00B63D1D">
        <w:rPr>
          <w:rFonts w:ascii="Calibri" w:hAnsi="Calibri" w:cs="Calibri"/>
          <w:sz w:val="22"/>
          <w:szCs w:val="22"/>
        </w:rPr>
        <w:t xml:space="preserve">7 revision had received a positive vote from the majority of P-members. If there were only editorial changes made during the meeting then it would be submitted to the BIML for registration as a draft publication and </w:t>
      </w:r>
      <w:r w:rsidR="00B72574">
        <w:rPr>
          <w:rFonts w:ascii="Calibri" w:hAnsi="Calibri" w:cs="Calibri"/>
          <w:sz w:val="22"/>
          <w:szCs w:val="22"/>
        </w:rPr>
        <w:t>forwarded to</w:t>
      </w:r>
      <w:r w:rsidRPr="00B63D1D">
        <w:rPr>
          <w:rFonts w:ascii="Calibri" w:hAnsi="Calibri" w:cs="Calibri"/>
          <w:sz w:val="22"/>
          <w:szCs w:val="22"/>
        </w:rPr>
        <w:t xml:space="preserve"> CIML preliminary ballot.</w:t>
      </w:r>
    </w:p>
    <w:p w:rsidR="00B63D1D" w:rsidRDefault="00B63D1D" w:rsidP="00B63D1D">
      <w:pPr>
        <w:ind w:left="720"/>
        <w:rPr>
          <w:rFonts w:ascii="Calibri" w:hAnsi="Calibri" w:cs="Calibri"/>
          <w:sz w:val="22"/>
          <w:szCs w:val="22"/>
        </w:rPr>
      </w:pPr>
    </w:p>
    <w:p w:rsidR="00932B06" w:rsidRDefault="00572F64" w:rsidP="00932B06">
      <w:pPr>
        <w:numPr>
          <w:ilvl w:val="0"/>
          <w:numId w:val="2"/>
        </w:numPr>
        <w:ind w:hanging="578"/>
        <w:rPr>
          <w:rFonts w:ascii="Calibri" w:hAnsi="Calibri" w:cs="Calibri"/>
          <w:sz w:val="22"/>
          <w:szCs w:val="22"/>
        </w:rPr>
      </w:pPr>
      <w:r w:rsidRPr="00B63D1D">
        <w:rPr>
          <w:rFonts w:ascii="Calibri" w:hAnsi="Calibri" w:cs="Calibri"/>
          <w:sz w:val="22"/>
          <w:szCs w:val="22"/>
        </w:rPr>
        <w:t xml:space="preserve"> </w:t>
      </w:r>
      <w:r w:rsidR="00B63D1D" w:rsidRPr="00B63D1D">
        <w:rPr>
          <w:rFonts w:ascii="Calibri" w:hAnsi="Calibri" w:cs="Calibri"/>
          <w:sz w:val="22"/>
          <w:szCs w:val="22"/>
        </w:rPr>
        <w:t xml:space="preserve">It was resolved to change all references from “manufacturer” to “packer” throughout the document. </w:t>
      </w:r>
    </w:p>
    <w:p w:rsidR="00932B06" w:rsidRPr="00C44364" w:rsidRDefault="00932B06" w:rsidP="00932B06">
      <w:pPr>
        <w:pStyle w:val="ListParagraph"/>
        <w:rPr>
          <w:rFonts w:ascii="Calibri" w:hAnsi="Calibri" w:cs="Calibri"/>
          <w:sz w:val="22"/>
          <w:szCs w:val="22"/>
        </w:rPr>
      </w:pPr>
    </w:p>
    <w:p w:rsidR="00932B06" w:rsidRPr="00932B06" w:rsidRDefault="00932B06" w:rsidP="00932B06">
      <w:pPr>
        <w:numPr>
          <w:ilvl w:val="0"/>
          <w:numId w:val="2"/>
        </w:numPr>
        <w:ind w:hanging="578"/>
        <w:rPr>
          <w:rFonts w:ascii="Calibri" w:hAnsi="Calibri" w:cs="Calibri"/>
          <w:sz w:val="22"/>
          <w:szCs w:val="22"/>
        </w:rPr>
      </w:pPr>
      <w:r w:rsidRPr="00C44364">
        <w:rPr>
          <w:rFonts w:ascii="Calibri" w:hAnsi="Calibri" w:cs="Calibri"/>
          <w:sz w:val="22"/>
          <w:szCs w:val="22"/>
        </w:rPr>
        <w:t xml:space="preserve">It was resolved to include a new sub-clause within the “Terminology” section that contains all acronyms and symbols already referenced in the document. The acronyms and symbols in the Annexures will remain. </w:t>
      </w:r>
    </w:p>
    <w:p w:rsidR="00B63D1D" w:rsidRPr="00B63D1D" w:rsidRDefault="00B63D1D" w:rsidP="00B63D1D">
      <w:pPr>
        <w:rPr>
          <w:rFonts w:ascii="Calibri" w:hAnsi="Calibri" w:cs="Calibri"/>
          <w:sz w:val="22"/>
          <w:szCs w:val="22"/>
        </w:rPr>
      </w:pPr>
    </w:p>
    <w:p w:rsidR="00053B12" w:rsidRPr="00B72574" w:rsidRDefault="00FB57E8" w:rsidP="00053B12">
      <w:pPr>
        <w:numPr>
          <w:ilvl w:val="0"/>
          <w:numId w:val="2"/>
        </w:numPr>
        <w:ind w:hanging="578"/>
        <w:rPr>
          <w:rFonts w:ascii="Calibri" w:hAnsi="Calibri" w:cs="Calibri"/>
          <w:sz w:val="22"/>
          <w:szCs w:val="22"/>
        </w:rPr>
      </w:pPr>
      <w:r w:rsidRPr="00B72574">
        <w:rPr>
          <w:rFonts w:ascii="Calibri" w:hAnsi="Calibri" w:cs="Calibri"/>
          <w:sz w:val="22"/>
          <w:szCs w:val="22"/>
        </w:rPr>
        <w:t xml:space="preserve">The final document will contain a note detailing the </w:t>
      </w:r>
      <w:r w:rsidR="00053B12" w:rsidRPr="00B72574">
        <w:rPr>
          <w:rFonts w:ascii="Calibri" w:hAnsi="Calibri" w:cs="Calibri"/>
          <w:sz w:val="22"/>
          <w:szCs w:val="22"/>
        </w:rPr>
        <w:t xml:space="preserve">statistical </w:t>
      </w:r>
      <w:r w:rsidRPr="00B72574">
        <w:rPr>
          <w:rFonts w:ascii="Calibri" w:hAnsi="Calibri" w:cs="Calibri"/>
          <w:sz w:val="22"/>
          <w:szCs w:val="22"/>
        </w:rPr>
        <w:t>rounding method used</w:t>
      </w:r>
      <w:r w:rsidR="00B72574" w:rsidRPr="00B72574">
        <w:rPr>
          <w:rFonts w:ascii="Calibri" w:hAnsi="Calibri" w:cs="Calibri"/>
          <w:sz w:val="22"/>
          <w:szCs w:val="22"/>
        </w:rPr>
        <w:t>.</w:t>
      </w:r>
      <w:r w:rsidR="00B72574">
        <w:rPr>
          <w:rFonts w:ascii="Calibri" w:hAnsi="Calibri" w:cs="Calibri"/>
          <w:sz w:val="22"/>
          <w:szCs w:val="22"/>
        </w:rPr>
        <w:t xml:space="preserve"> </w:t>
      </w:r>
      <w:r w:rsidR="00053B12" w:rsidRPr="00B72574">
        <w:rPr>
          <w:rFonts w:ascii="Calibri" w:hAnsi="Calibri" w:cs="Calibri"/>
          <w:sz w:val="22"/>
          <w:szCs w:val="22"/>
        </w:rPr>
        <w:t>The following was inserted:</w:t>
      </w:r>
    </w:p>
    <w:p w:rsidR="00053B12" w:rsidRPr="00C44364" w:rsidRDefault="00053B12" w:rsidP="00053B12">
      <w:pPr>
        <w:pStyle w:val="ListParagraph"/>
        <w:rPr>
          <w:rFonts w:ascii="Calibri" w:hAnsi="Calibri" w:cs="Calibri"/>
          <w:sz w:val="22"/>
          <w:szCs w:val="22"/>
        </w:rPr>
      </w:pPr>
    </w:p>
    <w:p w:rsidR="00053B12" w:rsidRPr="00B72574" w:rsidRDefault="00053B12" w:rsidP="00053B12">
      <w:pPr>
        <w:pStyle w:val="ListParagraph"/>
        <w:rPr>
          <w:rFonts w:ascii="Calibri" w:hAnsi="Calibri" w:cs="Calibri"/>
          <w:i/>
          <w:sz w:val="22"/>
          <w:szCs w:val="22"/>
        </w:rPr>
      </w:pPr>
      <w:r w:rsidRPr="00B72574">
        <w:rPr>
          <w:rFonts w:ascii="Calibri" w:hAnsi="Calibri" w:cs="Calibri"/>
          <w:i/>
          <w:sz w:val="22"/>
          <w:szCs w:val="22"/>
        </w:rPr>
        <w:t>A method for rounding a number in which numbers larger than or equal to [N-0.5] and less than [N+0.5] is rounded to N as an integer.</w:t>
      </w:r>
    </w:p>
    <w:p w:rsidR="000A7B81" w:rsidRPr="00B72574" w:rsidRDefault="000A7B81" w:rsidP="00053B12">
      <w:pPr>
        <w:pStyle w:val="ListParagraph"/>
        <w:rPr>
          <w:rFonts w:ascii="Calibri" w:hAnsi="Calibri" w:cs="Calibri"/>
          <w:sz w:val="22"/>
          <w:szCs w:val="22"/>
        </w:rPr>
      </w:pPr>
    </w:p>
    <w:p w:rsidR="000A7B81" w:rsidRPr="0075185A" w:rsidRDefault="000A7B81" w:rsidP="000A7B81">
      <w:pPr>
        <w:numPr>
          <w:ilvl w:val="0"/>
          <w:numId w:val="2"/>
        </w:numPr>
        <w:ind w:hanging="578"/>
        <w:rPr>
          <w:rFonts w:ascii="Calibri" w:hAnsi="Calibri" w:cs="Calibri"/>
          <w:sz w:val="22"/>
          <w:szCs w:val="22"/>
        </w:rPr>
      </w:pPr>
      <w:r w:rsidRPr="00B72574">
        <w:rPr>
          <w:rFonts w:ascii="Calibri" w:hAnsi="Calibri" w:cs="Calibri"/>
          <w:sz w:val="22"/>
          <w:szCs w:val="22"/>
        </w:rPr>
        <w:t>It was agreed that Aerosols can be sold by weight or volume or both</w:t>
      </w:r>
    </w:p>
    <w:p w:rsidR="00FB57E8" w:rsidRDefault="00FB57E8" w:rsidP="00FB57E8">
      <w:pPr>
        <w:ind w:left="720"/>
        <w:rPr>
          <w:rFonts w:ascii="Calibri" w:hAnsi="Calibri" w:cs="Calibri"/>
          <w:sz w:val="22"/>
          <w:szCs w:val="22"/>
        </w:rPr>
      </w:pPr>
    </w:p>
    <w:p w:rsidR="002047E5" w:rsidRPr="002047E5" w:rsidRDefault="00FB57E8" w:rsidP="0010058D">
      <w:pPr>
        <w:numPr>
          <w:ilvl w:val="0"/>
          <w:numId w:val="2"/>
        </w:numPr>
        <w:ind w:hanging="578"/>
        <w:rPr>
          <w:rFonts w:ascii="Calibri" w:hAnsi="Calibri" w:cs="Calibri"/>
          <w:sz w:val="22"/>
          <w:szCs w:val="22"/>
        </w:rPr>
      </w:pPr>
      <w:r w:rsidRPr="00C44364">
        <w:rPr>
          <w:rFonts w:ascii="Calibri" w:hAnsi="Calibri" w:cs="Calibri"/>
          <w:sz w:val="22"/>
          <w:szCs w:val="22"/>
        </w:rPr>
        <w:t>The meeting resolved to include two updated tables</w:t>
      </w:r>
      <w:r w:rsidR="002047E5" w:rsidRPr="00C44364">
        <w:rPr>
          <w:rFonts w:ascii="Calibri" w:hAnsi="Calibri" w:cs="Calibri"/>
          <w:sz w:val="22"/>
          <w:szCs w:val="22"/>
        </w:rPr>
        <w:t xml:space="preserve"> for developing sampling plans</w:t>
      </w:r>
      <w:r w:rsidR="007D4072" w:rsidRPr="00C44364">
        <w:rPr>
          <w:rFonts w:ascii="Calibri" w:hAnsi="Calibri" w:cs="Calibri"/>
          <w:sz w:val="22"/>
          <w:szCs w:val="22"/>
        </w:rPr>
        <w:t xml:space="preserve">. </w:t>
      </w:r>
    </w:p>
    <w:p w:rsidR="002047E5" w:rsidRPr="002047E5" w:rsidRDefault="002047E5" w:rsidP="002047E5">
      <w:pPr>
        <w:ind w:left="720"/>
        <w:rPr>
          <w:rFonts w:ascii="Calibri" w:hAnsi="Calibri" w:cs="Calibri"/>
          <w:sz w:val="22"/>
          <w:szCs w:val="22"/>
        </w:rPr>
      </w:pPr>
    </w:p>
    <w:p w:rsidR="002047E5" w:rsidRPr="002047E5" w:rsidRDefault="007D4072" w:rsidP="002047E5">
      <w:pPr>
        <w:numPr>
          <w:ilvl w:val="1"/>
          <w:numId w:val="2"/>
        </w:numPr>
        <w:ind w:left="720"/>
        <w:rPr>
          <w:rFonts w:ascii="Calibri" w:hAnsi="Calibri" w:cs="Calibri"/>
          <w:sz w:val="22"/>
          <w:szCs w:val="22"/>
        </w:rPr>
      </w:pPr>
      <w:r w:rsidRPr="00C44364">
        <w:rPr>
          <w:rFonts w:ascii="Calibri" w:hAnsi="Calibri" w:cs="Calibri"/>
          <w:sz w:val="22"/>
          <w:szCs w:val="22"/>
        </w:rPr>
        <w:t>Table</w:t>
      </w:r>
      <w:r w:rsidR="002047E5" w:rsidRPr="00C44364">
        <w:rPr>
          <w:rFonts w:ascii="Calibri" w:hAnsi="Calibri" w:cs="Calibri"/>
          <w:sz w:val="22"/>
          <w:szCs w:val="22"/>
        </w:rPr>
        <w:t xml:space="preserve"> 1</w:t>
      </w:r>
      <w:r w:rsidRPr="00C44364">
        <w:rPr>
          <w:rFonts w:ascii="Calibri" w:hAnsi="Calibri" w:cs="Calibri"/>
          <w:sz w:val="22"/>
          <w:szCs w:val="22"/>
        </w:rPr>
        <w:t xml:space="preserve"> </w:t>
      </w:r>
      <w:r w:rsidR="002047E5" w:rsidRPr="00C44364">
        <w:rPr>
          <w:rFonts w:ascii="Calibri" w:hAnsi="Calibri" w:cs="Calibri"/>
          <w:sz w:val="22"/>
          <w:szCs w:val="22"/>
        </w:rPr>
        <w:t>will be for lot sizes that have a range of values determine</w:t>
      </w:r>
      <w:r w:rsidR="00B72574">
        <w:rPr>
          <w:rFonts w:ascii="Calibri" w:hAnsi="Calibri" w:cs="Calibri"/>
          <w:sz w:val="22"/>
          <w:szCs w:val="22"/>
        </w:rPr>
        <w:t>d at the time of inspection, for example</w:t>
      </w:r>
      <w:r w:rsidR="002047E5" w:rsidRPr="00C44364">
        <w:rPr>
          <w:rFonts w:ascii="Calibri" w:hAnsi="Calibri" w:cs="Calibri"/>
          <w:sz w:val="22"/>
          <w:szCs w:val="22"/>
        </w:rPr>
        <w:t xml:space="preserve"> </w:t>
      </w:r>
      <w:r w:rsidR="00B72574">
        <w:rPr>
          <w:rFonts w:ascii="Calibri" w:hAnsi="Calibri" w:cs="Calibri"/>
          <w:sz w:val="22"/>
          <w:szCs w:val="22"/>
        </w:rPr>
        <w:t xml:space="preserve">a </w:t>
      </w:r>
      <w:r w:rsidR="002047E5" w:rsidRPr="00C44364">
        <w:rPr>
          <w:rFonts w:ascii="Calibri" w:hAnsi="Calibri" w:cs="Calibri"/>
          <w:sz w:val="22"/>
          <w:szCs w:val="22"/>
        </w:rPr>
        <w:t>lots that ha</w:t>
      </w:r>
      <w:r w:rsidR="00B72574">
        <w:rPr>
          <w:rFonts w:ascii="Calibri" w:hAnsi="Calibri" w:cs="Calibri"/>
          <w:sz w:val="22"/>
          <w:szCs w:val="22"/>
        </w:rPr>
        <w:t>s</w:t>
      </w:r>
      <w:r w:rsidR="002047E5" w:rsidRPr="00C44364">
        <w:rPr>
          <w:rFonts w:ascii="Calibri" w:hAnsi="Calibri" w:cs="Calibri"/>
          <w:sz w:val="22"/>
          <w:szCs w:val="22"/>
        </w:rPr>
        <w:t xml:space="preserve"> between </w:t>
      </w:r>
      <w:r w:rsidR="00EB075E" w:rsidRPr="00EB075E">
        <w:rPr>
          <w:rFonts w:ascii="Calibri" w:hAnsi="Calibri" w:cs="Calibri"/>
          <w:sz w:val="22"/>
          <w:szCs w:val="22"/>
        </w:rPr>
        <w:t xml:space="preserve">180 and 599 </w:t>
      </w:r>
      <w:r w:rsidR="002047E5" w:rsidRPr="00C44364">
        <w:rPr>
          <w:rFonts w:ascii="Calibri" w:hAnsi="Calibri" w:cs="Calibri"/>
          <w:sz w:val="22"/>
          <w:szCs w:val="22"/>
        </w:rPr>
        <w:t xml:space="preserve">packages. The table </w:t>
      </w:r>
      <w:r w:rsidR="00B72574" w:rsidRPr="00C44364">
        <w:rPr>
          <w:rFonts w:ascii="Calibri" w:hAnsi="Calibri" w:cs="Calibri"/>
          <w:sz w:val="22"/>
          <w:szCs w:val="22"/>
        </w:rPr>
        <w:t xml:space="preserve">is suitable for a lot sizes smaller than 32 prepackages </w:t>
      </w:r>
      <w:r w:rsidR="00B1749D">
        <w:rPr>
          <w:rFonts w:ascii="Calibri" w:hAnsi="Calibri" w:cs="Calibri"/>
          <w:sz w:val="22"/>
          <w:szCs w:val="22"/>
        </w:rPr>
        <w:t xml:space="preserve">and </w:t>
      </w:r>
      <w:r w:rsidR="002047E5" w:rsidRPr="00C44364">
        <w:rPr>
          <w:rFonts w:ascii="Calibri" w:hAnsi="Calibri" w:cs="Calibri"/>
          <w:sz w:val="22"/>
          <w:szCs w:val="22"/>
        </w:rPr>
        <w:t>will</w:t>
      </w:r>
      <w:r w:rsidR="00B1749D">
        <w:rPr>
          <w:rFonts w:ascii="Calibri" w:hAnsi="Calibri" w:cs="Calibri"/>
          <w:sz w:val="22"/>
          <w:szCs w:val="22"/>
        </w:rPr>
        <w:t xml:space="preserve"> also </w:t>
      </w:r>
      <w:r w:rsidR="002047E5" w:rsidRPr="00C44364">
        <w:rPr>
          <w:rFonts w:ascii="Calibri" w:hAnsi="Calibri" w:cs="Calibri"/>
          <w:sz w:val="22"/>
          <w:szCs w:val="22"/>
        </w:rPr>
        <w:t>include the relevant number of prepackages permitted to contain T1 errors</w:t>
      </w:r>
      <w:r w:rsidR="00C44364" w:rsidRPr="00C44364">
        <w:rPr>
          <w:rFonts w:ascii="Calibri" w:hAnsi="Calibri" w:cs="Calibri"/>
          <w:sz w:val="22"/>
          <w:szCs w:val="22"/>
        </w:rPr>
        <w:t>. T</w:t>
      </w:r>
      <w:r w:rsidR="002047E5" w:rsidRPr="00C44364">
        <w:rPr>
          <w:rFonts w:ascii="Calibri" w:hAnsi="Calibri" w:cs="Calibri"/>
          <w:sz w:val="22"/>
          <w:szCs w:val="22"/>
        </w:rPr>
        <w:t>he</w:t>
      </w:r>
      <w:r w:rsidR="00C44364" w:rsidRPr="00C44364">
        <w:rPr>
          <w:rFonts w:ascii="Calibri" w:hAnsi="Calibri" w:cs="Calibri"/>
          <w:sz w:val="22"/>
          <w:szCs w:val="22"/>
        </w:rPr>
        <w:t xml:space="preserve"> final</w:t>
      </w:r>
      <w:r w:rsidR="002047E5" w:rsidRPr="00C44364">
        <w:rPr>
          <w:rFonts w:ascii="Calibri" w:hAnsi="Calibri" w:cs="Calibri"/>
          <w:sz w:val="22"/>
          <w:szCs w:val="22"/>
        </w:rPr>
        <w:t xml:space="preserve"> document will provide an equation to calculate the sample correction factor. </w:t>
      </w:r>
    </w:p>
    <w:p w:rsidR="002047E5" w:rsidRPr="002047E5" w:rsidRDefault="002047E5" w:rsidP="002047E5">
      <w:pPr>
        <w:ind w:left="720"/>
        <w:rPr>
          <w:rFonts w:ascii="Calibri" w:hAnsi="Calibri" w:cs="Calibri"/>
          <w:sz w:val="22"/>
          <w:szCs w:val="22"/>
        </w:rPr>
      </w:pPr>
    </w:p>
    <w:p w:rsidR="002047E5" w:rsidRPr="002047E5" w:rsidRDefault="002047E5" w:rsidP="002047E5">
      <w:pPr>
        <w:numPr>
          <w:ilvl w:val="1"/>
          <w:numId w:val="2"/>
        </w:numPr>
        <w:ind w:left="720"/>
        <w:rPr>
          <w:rFonts w:ascii="Calibri" w:hAnsi="Calibri" w:cs="Calibri"/>
          <w:sz w:val="22"/>
          <w:szCs w:val="22"/>
        </w:rPr>
      </w:pPr>
      <w:r w:rsidRPr="00C44364">
        <w:rPr>
          <w:rFonts w:ascii="Calibri" w:hAnsi="Calibri" w:cs="Calibri"/>
          <w:sz w:val="22"/>
          <w:szCs w:val="22"/>
        </w:rPr>
        <w:t xml:space="preserve">Table 2 </w:t>
      </w:r>
      <w:r w:rsidR="007D4072" w:rsidRPr="00C44364">
        <w:rPr>
          <w:rFonts w:ascii="Calibri" w:hAnsi="Calibri" w:cs="Calibri"/>
          <w:sz w:val="22"/>
          <w:szCs w:val="22"/>
        </w:rPr>
        <w:t xml:space="preserve">will </w:t>
      </w:r>
      <w:r w:rsidR="00FB57E8" w:rsidRPr="00C44364">
        <w:rPr>
          <w:rFonts w:ascii="Calibri" w:hAnsi="Calibri" w:cs="Calibri"/>
          <w:sz w:val="22"/>
          <w:szCs w:val="22"/>
        </w:rPr>
        <w:t>reflect</w:t>
      </w:r>
      <w:r w:rsidR="007D4072" w:rsidRPr="00C44364">
        <w:rPr>
          <w:rFonts w:ascii="Calibri" w:hAnsi="Calibri" w:cs="Calibri"/>
          <w:sz w:val="22"/>
          <w:szCs w:val="22"/>
        </w:rPr>
        <w:t xml:space="preserve"> lot sizes with disc</w:t>
      </w:r>
      <w:r w:rsidRPr="00C44364">
        <w:rPr>
          <w:rFonts w:ascii="Calibri" w:hAnsi="Calibri" w:cs="Calibri"/>
          <w:sz w:val="22"/>
          <w:szCs w:val="22"/>
        </w:rPr>
        <w:t xml:space="preserve">reet batch sizes, i.e. an inspection lot containing 500 packages. The table will also provide the relevant number of prepackages permitted to contain T1 errors and the </w:t>
      </w:r>
      <w:r w:rsidR="00B1749D">
        <w:rPr>
          <w:rFonts w:ascii="Calibri" w:hAnsi="Calibri" w:cs="Calibri"/>
          <w:sz w:val="22"/>
          <w:szCs w:val="22"/>
        </w:rPr>
        <w:t>pre-</w:t>
      </w:r>
      <w:r w:rsidRPr="00C44364">
        <w:rPr>
          <w:rFonts w:ascii="Calibri" w:hAnsi="Calibri" w:cs="Calibri"/>
          <w:sz w:val="22"/>
          <w:szCs w:val="22"/>
        </w:rPr>
        <w:t xml:space="preserve">calculated sample correction factor. </w:t>
      </w:r>
    </w:p>
    <w:p w:rsidR="002047E5" w:rsidRPr="00C44364" w:rsidRDefault="002047E5" w:rsidP="002047E5">
      <w:pPr>
        <w:pStyle w:val="ListParagraph"/>
        <w:rPr>
          <w:rFonts w:ascii="Calibri" w:hAnsi="Calibri" w:cs="Calibri"/>
          <w:sz w:val="22"/>
          <w:szCs w:val="22"/>
        </w:rPr>
      </w:pPr>
    </w:p>
    <w:p w:rsidR="000A7B81" w:rsidRDefault="007D4072" w:rsidP="000A7B81">
      <w:pPr>
        <w:ind w:left="709" w:firstLine="11"/>
        <w:rPr>
          <w:rFonts w:ascii="Calibri" w:hAnsi="Calibri" w:cs="Calibri"/>
          <w:sz w:val="22"/>
          <w:szCs w:val="22"/>
        </w:rPr>
      </w:pPr>
      <w:r w:rsidRPr="00C44364">
        <w:rPr>
          <w:rFonts w:ascii="Calibri" w:hAnsi="Calibri" w:cs="Calibri"/>
          <w:sz w:val="22"/>
          <w:szCs w:val="22"/>
        </w:rPr>
        <w:t xml:space="preserve">These </w:t>
      </w:r>
      <w:r w:rsidR="00C44364" w:rsidRPr="00C44364">
        <w:rPr>
          <w:rFonts w:ascii="Calibri" w:hAnsi="Calibri" w:cs="Calibri"/>
          <w:sz w:val="22"/>
          <w:szCs w:val="22"/>
        </w:rPr>
        <w:t xml:space="preserve">two tables </w:t>
      </w:r>
      <w:r w:rsidRPr="00C44364">
        <w:rPr>
          <w:rFonts w:ascii="Calibri" w:hAnsi="Calibri" w:cs="Calibri"/>
          <w:sz w:val="22"/>
          <w:szCs w:val="22"/>
        </w:rPr>
        <w:t xml:space="preserve">will </w:t>
      </w:r>
      <w:r w:rsidR="00FB57E8" w:rsidRPr="00C44364">
        <w:rPr>
          <w:rFonts w:ascii="Calibri" w:hAnsi="Calibri" w:cs="Calibri"/>
          <w:sz w:val="22"/>
          <w:szCs w:val="22"/>
        </w:rPr>
        <w:t xml:space="preserve">replace the existing table in Clause 4.5 </w:t>
      </w:r>
      <w:r w:rsidRPr="00C44364">
        <w:rPr>
          <w:rFonts w:ascii="Calibri" w:hAnsi="Calibri" w:cs="Calibri"/>
          <w:sz w:val="22"/>
          <w:szCs w:val="22"/>
        </w:rPr>
        <w:t xml:space="preserve">and will incorporate </w:t>
      </w:r>
      <w:r w:rsidR="00FB57E8" w:rsidRPr="00C44364">
        <w:rPr>
          <w:rFonts w:ascii="Calibri" w:hAnsi="Calibri" w:cs="Calibri"/>
          <w:sz w:val="22"/>
          <w:szCs w:val="22"/>
        </w:rPr>
        <w:t>the agreed rounding method.</w:t>
      </w:r>
      <w:r w:rsidRPr="00C44364">
        <w:rPr>
          <w:rFonts w:ascii="Calibri" w:hAnsi="Calibri" w:cs="Calibri"/>
          <w:sz w:val="22"/>
          <w:szCs w:val="22"/>
        </w:rPr>
        <w:t xml:space="preserve"> </w:t>
      </w:r>
    </w:p>
    <w:p w:rsidR="000A7B81" w:rsidRDefault="000A7B81" w:rsidP="000A7B81">
      <w:pPr>
        <w:ind w:left="709" w:firstLine="11"/>
        <w:rPr>
          <w:rFonts w:ascii="Calibri" w:hAnsi="Calibri" w:cs="Calibri"/>
          <w:sz w:val="22"/>
          <w:szCs w:val="22"/>
        </w:rPr>
      </w:pPr>
    </w:p>
    <w:p w:rsidR="00B91EE7" w:rsidRPr="000A7B81" w:rsidRDefault="00C44364" w:rsidP="000A7B81">
      <w:pPr>
        <w:pStyle w:val="ListParagraph"/>
        <w:numPr>
          <w:ilvl w:val="0"/>
          <w:numId w:val="2"/>
        </w:numPr>
        <w:rPr>
          <w:rFonts w:ascii="Calibri" w:hAnsi="Calibri" w:cs="Calibri"/>
          <w:sz w:val="22"/>
          <w:szCs w:val="22"/>
        </w:rPr>
      </w:pPr>
      <w:r w:rsidRPr="000A7B81">
        <w:rPr>
          <w:rFonts w:ascii="Calibri" w:hAnsi="Calibri" w:cs="Calibri"/>
          <w:sz w:val="22"/>
          <w:szCs w:val="22"/>
        </w:rPr>
        <w:t>Committee Draft 3 of the R87 contains a single stage sampling plan and a multistage sampling plan. New Zealand put forward an additional two-stage sampling plan for consideration. It was ag</w:t>
      </w:r>
      <w:r w:rsidR="00B91EE7" w:rsidRPr="000A7B81">
        <w:rPr>
          <w:rFonts w:ascii="Calibri" w:hAnsi="Calibri" w:cs="Calibri"/>
          <w:sz w:val="22"/>
          <w:szCs w:val="22"/>
        </w:rPr>
        <w:t>reed that this sampling plan would be included into an OIML guide for ‘Alternative Sampling Methods’ and be published in the OIML bulletin. This would allow R87 to precede to the CIML members for preliminary ballot. New Zealand’s alternative sampling method and any others would then be considered for introduction to R87 when the next revision takes place (5 year revision intervals).</w:t>
      </w:r>
    </w:p>
    <w:p w:rsidR="00B91EE7" w:rsidRPr="000A7B81" w:rsidRDefault="00B91EE7" w:rsidP="00B91EE7">
      <w:pPr>
        <w:pStyle w:val="ListParagraph"/>
        <w:rPr>
          <w:rFonts w:ascii="Calibri" w:hAnsi="Calibri" w:cs="Calibri"/>
          <w:sz w:val="22"/>
          <w:szCs w:val="22"/>
        </w:rPr>
      </w:pPr>
    </w:p>
    <w:p w:rsidR="00B91EE7" w:rsidRPr="000A7B81" w:rsidRDefault="00B91EE7" w:rsidP="00B91EE7">
      <w:pPr>
        <w:pStyle w:val="ListParagraph"/>
        <w:rPr>
          <w:rFonts w:ascii="Calibri" w:hAnsi="Calibri" w:cs="Calibri"/>
          <w:sz w:val="22"/>
          <w:szCs w:val="22"/>
        </w:rPr>
      </w:pPr>
      <w:r w:rsidRPr="000A7B81">
        <w:rPr>
          <w:rFonts w:ascii="Calibri" w:hAnsi="Calibri" w:cs="Calibri"/>
          <w:sz w:val="22"/>
          <w:szCs w:val="22"/>
        </w:rPr>
        <w:t xml:space="preserve">It is </w:t>
      </w:r>
      <w:r w:rsidR="000A7B81" w:rsidRPr="000A7B81">
        <w:rPr>
          <w:rFonts w:ascii="Calibri" w:hAnsi="Calibri" w:cs="Calibri"/>
          <w:sz w:val="22"/>
          <w:szCs w:val="22"/>
        </w:rPr>
        <w:t>intended</w:t>
      </w:r>
      <w:r w:rsidRPr="000A7B81">
        <w:rPr>
          <w:rFonts w:ascii="Calibri" w:hAnsi="Calibri" w:cs="Calibri"/>
          <w:sz w:val="22"/>
          <w:szCs w:val="22"/>
        </w:rPr>
        <w:t xml:space="preserve"> that the OIML guide for ‘Alternative sampling methods’ be published at the same time as </w:t>
      </w:r>
      <w:r w:rsidR="000A7B81" w:rsidRPr="000A7B81">
        <w:rPr>
          <w:rFonts w:ascii="Calibri" w:hAnsi="Calibri" w:cs="Calibri"/>
          <w:sz w:val="22"/>
          <w:szCs w:val="22"/>
        </w:rPr>
        <w:t xml:space="preserve">R79 and </w:t>
      </w:r>
      <w:r w:rsidRPr="000A7B81">
        <w:rPr>
          <w:rFonts w:ascii="Calibri" w:hAnsi="Calibri" w:cs="Calibri"/>
          <w:sz w:val="22"/>
          <w:szCs w:val="22"/>
        </w:rPr>
        <w:t>R87 so they</w:t>
      </w:r>
      <w:r w:rsidR="000A7B81" w:rsidRPr="000A7B81">
        <w:rPr>
          <w:rFonts w:ascii="Calibri" w:hAnsi="Calibri" w:cs="Calibri"/>
          <w:sz w:val="22"/>
          <w:szCs w:val="22"/>
        </w:rPr>
        <w:t xml:space="preserve"> form a suit</w:t>
      </w:r>
      <w:r w:rsidR="00B1749D">
        <w:rPr>
          <w:rFonts w:ascii="Calibri" w:hAnsi="Calibri" w:cs="Calibri"/>
          <w:sz w:val="22"/>
          <w:szCs w:val="22"/>
        </w:rPr>
        <w:t>e</w:t>
      </w:r>
      <w:r w:rsidR="000A7B81" w:rsidRPr="000A7B81">
        <w:rPr>
          <w:rFonts w:ascii="Calibri" w:hAnsi="Calibri" w:cs="Calibri"/>
          <w:sz w:val="22"/>
          <w:szCs w:val="22"/>
        </w:rPr>
        <w:t xml:space="preserve"> of resources.  </w:t>
      </w:r>
      <w:r w:rsidRPr="000A7B81">
        <w:rPr>
          <w:rFonts w:ascii="Calibri" w:hAnsi="Calibri" w:cs="Calibri"/>
          <w:sz w:val="22"/>
          <w:szCs w:val="22"/>
        </w:rPr>
        <w:t xml:space="preserve">    </w:t>
      </w:r>
    </w:p>
    <w:p w:rsidR="00C44364" w:rsidRDefault="00C44364" w:rsidP="000A7B81">
      <w:pPr>
        <w:ind w:left="720"/>
        <w:rPr>
          <w:rFonts w:ascii="Calibri" w:hAnsi="Calibri" w:cs="Calibri"/>
          <w:sz w:val="22"/>
          <w:szCs w:val="22"/>
        </w:rPr>
      </w:pPr>
    </w:p>
    <w:p w:rsidR="000A7B81" w:rsidRDefault="000A7B81" w:rsidP="000A7B81">
      <w:pPr>
        <w:pStyle w:val="ListParagraph"/>
        <w:spacing w:after="200" w:line="276" w:lineRule="auto"/>
        <w:contextualSpacing/>
        <w:rPr>
          <w:rFonts w:ascii="Calibri" w:hAnsi="Calibri" w:cs="Calibri"/>
          <w:sz w:val="22"/>
          <w:szCs w:val="22"/>
        </w:rPr>
      </w:pPr>
    </w:p>
    <w:p w:rsidR="000A7B81" w:rsidRPr="000A7B81" w:rsidRDefault="000A7B81" w:rsidP="000A7B81">
      <w:pPr>
        <w:pStyle w:val="ListParagraph"/>
        <w:numPr>
          <w:ilvl w:val="0"/>
          <w:numId w:val="2"/>
        </w:numPr>
        <w:spacing w:after="200" w:line="276" w:lineRule="auto"/>
        <w:contextualSpacing/>
        <w:rPr>
          <w:rFonts w:ascii="Calibri" w:hAnsi="Calibri" w:cs="Calibri"/>
          <w:sz w:val="22"/>
          <w:szCs w:val="22"/>
        </w:rPr>
      </w:pPr>
      <w:r w:rsidRPr="000A7B81">
        <w:rPr>
          <w:rFonts w:ascii="Calibri" w:hAnsi="Calibri" w:cs="Calibri"/>
          <w:sz w:val="22"/>
          <w:szCs w:val="22"/>
        </w:rPr>
        <w:t xml:space="preserve">The final version of R </w:t>
      </w:r>
      <w:r>
        <w:rPr>
          <w:rFonts w:ascii="Calibri" w:hAnsi="Calibri" w:cs="Calibri"/>
          <w:sz w:val="22"/>
          <w:szCs w:val="22"/>
        </w:rPr>
        <w:t>87</w:t>
      </w:r>
      <w:r w:rsidRPr="000A7B81">
        <w:rPr>
          <w:rFonts w:ascii="Calibri" w:hAnsi="Calibri" w:cs="Calibri"/>
          <w:sz w:val="22"/>
          <w:szCs w:val="22"/>
        </w:rPr>
        <w:t xml:space="preserve"> will be submitted to the BIML for registration as a draft publication and then be sent to CIML for preliminary ballot.</w:t>
      </w:r>
      <w:r w:rsidRPr="000A7B81">
        <w:rPr>
          <w:highlight w:val="cyan"/>
        </w:rPr>
        <w:t xml:space="preserve"> </w:t>
      </w:r>
    </w:p>
    <w:p w:rsidR="0075185A" w:rsidRDefault="0075185A" w:rsidP="0075185A">
      <w:pPr>
        <w:pStyle w:val="ListParagraph"/>
      </w:pPr>
    </w:p>
    <w:p w:rsidR="0075185A" w:rsidRDefault="0075185A" w:rsidP="0075185A">
      <w:pPr>
        <w:pStyle w:val="ListParagraph"/>
        <w:rPr>
          <w:rFonts w:ascii="Calibri" w:hAnsi="Calibri" w:cs="Calibri"/>
          <w:sz w:val="22"/>
          <w:szCs w:val="22"/>
        </w:rPr>
      </w:pPr>
    </w:p>
    <w:p w:rsidR="00B1749D" w:rsidRDefault="00B1749D">
      <w:pPr>
        <w:spacing w:after="200" w:line="276" w:lineRule="auto"/>
        <w:rPr>
          <w:rFonts w:ascii="Calibri" w:hAnsi="Calibri" w:cs="Calibri"/>
          <w:b/>
          <w:sz w:val="22"/>
          <w:szCs w:val="22"/>
        </w:rPr>
      </w:pPr>
      <w:r>
        <w:rPr>
          <w:rFonts w:ascii="Calibri" w:hAnsi="Calibri" w:cs="Calibri"/>
          <w:bCs/>
          <w:sz w:val="22"/>
          <w:szCs w:val="22"/>
        </w:rPr>
        <w:br w:type="page"/>
      </w:r>
    </w:p>
    <w:p w:rsidR="00C25495" w:rsidRPr="00C25495" w:rsidRDefault="00460E5B" w:rsidP="0010058D">
      <w:pPr>
        <w:pStyle w:val="Heading3"/>
        <w:rPr>
          <w:rFonts w:ascii="Calibri" w:hAnsi="Calibri" w:cs="Calibri"/>
          <w:bCs w:val="0"/>
          <w:sz w:val="22"/>
          <w:szCs w:val="22"/>
          <w:u w:val="none"/>
        </w:rPr>
      </w:pPr>
      <w:r>
        <w:rPr>
          <w:rFonts w:ascii="Calibri" w:hAnsi="Calibri" w:cs="Calibri"/>
          <w:bCs w:val="0"/>
          <w:sz w:val="22"/>
          <w:szCs w:val="22"/>
          <w:u w:val="none"/>
        </w:rPr>
        <w:t>OIML TC6 Project 5 ‘</w:t>
      </w:r>
      <w:r w:rsidR="00C675AA" w:rsidRPr="00C675AA">
        <w:rPr>
          <w:rFonts w:ascii="Calibri" w:hAnsi="Calibri" w:cs="Calibri"/>
          <w:bCs w:val="0"/>
          <w:sz w:val="22"/>
          <w:szCs w:val="22"/>
          <w:u w:val="none"/>
        </w:rPr>
        <w:t>Guidance for Defining the System Requirements for a Certification System for Prepackages’</w:t>
      </w:r>
    </w:p>
    <w:p w:rsidR="00572F64" w:rsidRPr="0085711E" w:rsidRDefault="00572F64" w:rsidP="00572F64">
      <w:pPr>
        <w:rPr>
          <w:rFonts w:ascii="Calibri" w:hAnsi="Calibri" w:cs="Calibri"/>
          <w:sz w:val="22"/>
          <w:szCs w:val="22"/>
        </w:rPr>
      </w:pPr>
    </w:p>
    <w:p w:rsidR="00E04B75" w:rsidRDefault="00624A3E" w:rsidP="00E04B75">
      <w:pPr>
        <w:rPr>
          <w:rFonts w:ascii="Calibri" w:hAnsi="Calibri" w:cs="Calibri"/>
          <w:sz w:val="22"/>
          <w:szCs w:val="22"/>
        </w:rPr>
      </w:pPr>
      <w:r>
        <w:rPr>
          <w:rFonts w:ascii="Calibri" w:hAnsi="Calibri" w:cs="Calibri"/>
          <w:sz w:val="22"/>
          <w:szCs w:val="22"/>
        </w:rPr>
        <w:t xml:space="preserve">TC6 has been tasked with developing </w:t>
      </w:r>
      <w:proofErr w:type="gramStart"/>
      <w:r w:rsidR="00E04B75">
        <w:rPr>
          <w:rFonts w:ascii="Calibri" w:hAnsi="Calibri" w:cs="Calibri"/>
          <w:sz w:val="22"/>
          <w:szCs w:val="22"/>
        </w:rPr>
        <w:t>a</w:t>
      </w:r>
      <w:r w:rsidR="00EB075E">
        <w:rPr>
          <w:rFonts w:ascii="Calibri" w:hAnsi="Calibri" w:cs="Calibri"/>
          <w:sz w:val="22"/>
          <w:szCs w:val="22"/>
        </w:rPr>
        <w:t xml:space="preserve"> </w:t>
      </w:r>
      <w:r w:rsidR="00E04B75">
        <w:rPr>
          <w:rFonts w:ascii="Calibri" w:hAnsi="Calibri" w:cs="Calibri"/>
          <w:sz w:val="22"/>
          <w:szCs w:val="22"/>
        </w:rPr>
        <w:t xml:space="preserve"> ‘</w:t>
      </w:r>
      <w:r w:rsidR="00E04B75" w:rsidRPr="00E04B75">
        <w:rPr>
          <w:rFonts w:ascii="Calibri" w:hAnsi="Calibri" w:cs="Calibri"/>
          <w:sz w:val="22"/>
          <w:szCs w:val="22"/>
        </w:rPr>
        <w:t>Guidance</w:t>
      </w:r>
      <w:proofErr w:type="gramEnd"/>
      <w:r w:rsidR="00E04B75" w:rsidRPr="00E04B75">
        <w:rPr>
          <w:rFonts w:ascii="Calibri" w:hAnsi="Calibri" w:cs="Calibri"/>
          <w:sz w:val="22"/>
          <w:szCs w:val="22"/>
        </w:rPr>
        <w:t xml:space="preserve"> </w:t>
      </w:r>
      <w:r w:rsidR="00B1749D">
        <w:rPr>
          <w:rFonts w:ascii="Calibri" w:hAnsi="Calibri" w:cs="Calibri"/>
          <w:sz w:val="22"/>
          <w:szCs w:val="22"/>
        </w:rPr>
        <w:t>f</w:t>
      </w:r>
      <w:r w:rsidR="00E04B75" w:rsidRPr="00E04B75">
        <w:rPr>
          <w:rFonts w:ascii="Calibri" w:hAnsi="Calibri" w:cs="Calibri"/>
          <w:sz w:val="22"/>
          <w:szCs w:val="22"/>
        </w:rPr>
        <w:t xml:space="preserve">or Defining </w:t>
      </w:r>
      <w:r w:rsidR="00B1749D">
        <w:rPr>
          <w:rFonts w:ascii="Calibri" w:hAnsi="Calibri" w:cs="Calibri"/>
          <w:sz w:val="22"/>
          <w:szCs w:val="22"/>
        </w:rPr>
        <w:t>t</w:t>
      </w:r>
      <w:r w:rsidR="00E04B75" w:rsidRPr="00E04B75">
        <w:rPr>
          <w:rFonts w:ascii="Calibri" w:hAnsi="Calibri" w:cs="Calibri"/>
          <w:sz w:val="22"/>
          <w:szCs w:val="22"/>
        </w:rPr>
        <w:t xml:space="preserve">he System Requirements </w:t>
      </w:r>
      <w:r w:rsidR="00B1749D">
        <w:rPr>
          <w:rFonts w:ascii="Calibri" w:hAnsi="Calibri" w:cs="Calibri"/>
          <w:sz w:val="22"/>
          <w:szCs w:val="22"/>
        </w:rPr>
        <w:t>f</w:t>
      </w:r>
      <w:r w:rsidR="00E04B75" w:rsidRPr="00E04B75">
        <w:rPr>
          <w:rFonts w:ascii="Calibri" w:hAnsi="Calibri" w:cs="Calibri"/>
          <w:sz w:val="22"/>
          <w:szCs w:val="22"/>
        </w:rPr>
        <w:t xml:space="preserve">or </w:t>
      </w:r>
      <w:r w:rsidR="00B1749D">
        <w:rPr>
          <w:rFonts w:ascii="Calibri" w:hAnsi="Calibri" w:cs="Calibri"/>
          <w:sz w:val="22"/>
          <w:szCs w:val="22"/>
        </w:rPr>
        <w:t>a</w:t>
      </w:r>
      <w:r w:rsidR="00E04B75" w:rsidRPr="00E04B75">
        <w:rPr>
          <w:rFonts w:ascii="Calibri" w:hAnsi="Calibri" w:cs="Calibri"/>
          <w:sz w:val="22"/>
          <w:szCs w:val="22"/>
        </w:rPr>
        <w:t xml:space="preserve"> Certification System </w:t>
      </w:r>
      <w:r w:rsidR="00B1749D">
        <w:rPr>
          <w:rFonts w:ascii="Calibri" w:hAnsi="Calibri" w:cs="Calibri"/>
          <w:sz w:val="22"/>
          <w:szCs w:val="22"/>
        </w:rPr>
        <w:t>f</w:t>
      </w:r>
      <w:r w:rsidR="00E04B75" w:rsidRPr="00E04B75">
        <w:rPr>
          <w:rFonts w:ascii="Calibri" w:hAnsi="Calibri" w:cs="Calibri"/>
          <w:sz w:val="22"/>
          <w:szCs w:val="22"/>
        </w:rPr>
        <w:t>or Prepackages</w:t>
      </w:r>
      <w:r w:rsidR="00E04B75">
        <w:rPr>
          <w:rFonts w:ascii="Calibri" w:hAnsi="Calibri" w:cs="Calibri"/>
          <w:sz w:val="22"/>
          <w:szCs w:val="22"/>
        </w:rPr>
        <w:t>’ (GCOP).</w:t>
      </w:r>
    </w:p>
    <w:p w:rsidR="00E04B75" w:rsidRDefault="00E04B75" w:rsidP="00E04B75">
      <w:pPr>
        <w:rPr>
          <w:rFonts w:ascii="Calibri" w:hAnsi="Calibri" w:cs="Calibri"/>
          <w:sz w:val="22"/>
          <w:szCs w:val="22"/>
        </w:rPr>
      </w:pPr>
    </w:p>
    <w:p w:rsidR="00E04B75" w:rsidRDefault="00E04B75" w:rsidP="00E04B75">
      <w:pPr>
        <w:rPr>
          <w:rFonts w:ascii="Calibri" w:hAnsi="Calibri" w:cs="Calibri"/>
          <w:sz w:val="22"/>
          <w:szCs w:val="22"/>
        </w:rPr>
      </w:pPr>
      <w:r>
        <w:rPr>
          <w:rFonts w:ascii="Calibri" w:hAnsi="Calibri" w:cs="Calibri"/>
          <w:sz w:val="22"/>
          <w:szCs w:val="22"/>
        </w:rPr>
        <w:t xml:space="preserve">The purpose of the document is to </w:t>
      </w:r>
      <w:r w:rsidRPr="0061698C">
        <w:rPr>
          <w:rFonts w:ascii="Calibri" w:hAnsi="Calibri" w:cs="Calibri"/>
          <w:sz w:val="22"/>
          <w:szCs w:val="22"/>
        </w:rPr>
        <w:t xml:space="preserve">provide guidance to national authorities on the establishment and maintenance of certification schemes for the control of </w:t>
      </w:r>
      <w:r w:rsidR="00B1749D">
        <w:rPr>
          <w:rFonts w:ascii="Calibri" w:hAnsi="Calibri" w:cs="Calibri"/>
          <w:sz w:val="22"/>
          <w:szCs w:val="22"/>
        </w:rPr>
        <w:t xml:space="preserve">the </w:t>
      </w:r>
      <w:r w:rsidRPr="0061698C">
        <w:rPr>
          <w:rFonts w:ascii="Calibri" w:hAnsi="Calibri" w:cs="Calibri"/>
          <w:sz w:val="22"/>
          <w:szCs w:val="22"/>
        </w:rPr>
        <w:t>quantity of product in prepackages and associated labelling.</w:t>
      </w:r>
    </w:p>
    <w:p w:rsidR="00E04B75" w:rsidRDefault="00E04B75" w:rsidP="00E04B75">
      <w:pPr>
        <w:rPr>
          <w:rFonts w:ascii="Calibri" w:hAnsi="Calibri" w:cs="Calibri"/>
          <w:sz w:val="22"/>
          <w:szCs w:val="22"/>
        </w:rPr>
      </w:pPr>
    </w:p>
    <w:p w:rsidR="00460E5B" w:rsidRDefault="00460E5B" w:rsidP="00E04B75">
      <w:pPr>
        <w:rPr>
          <w:rFonts w:ascii="Calibri" w:hAnsi="Calibri" w:cs="Calibri"/>
          <w:sz w:val="22"/>
          <w:szCs w:val="22"/>
        </w:rPr>
      </w:pPr>
      <w:r>
        <w:rPr>
          <w:rFonts w:ascii="Calibri" w:hAnsi="Calibri" w:cs="Calibri"/>
          <w:sz w:val="22"/>
          <w:szCs w:val="22"/>
        </w:rPr>
        <w:t xml:space="preserve">This was the first review of Project 5. Each P-member was requested to provide a presentation on how package goods are controlled in their country, especially those countries that operate a certification scheme such as the European ‘E-mark’, Korean </w:t>
      </w:r>
      <w:r w:rsidR="004A2551">
        <w:rPr>
          <w:rFonts w:ascii="Calibri" w:hAnsi="Calibri" w:cs="Calibri"/>
          <w:sz w:val="22"/>
          <w:szCs w:val="22"/>
        </w:rPr>
        <w:t xml:space="preserve">‘K-mark’, Chinese ‘C-mark and the Vietnamese ‘V-mark. </w:t>
      </w:r>
    </w:p>
    <w:p w:rsidR="00E04B75" w:rsidRDefault="00E04B75" w:rsidP="00E04B75">
      <w:pPr>
        <w:rPr>
          <w:rFonts w:ascii="Calibri" w:hAnsi="Calibri" w:cs="Calibri"/>
          <w:sz w:val="22"/>
          <w:szCs w:val="22"/>
        </w:rPr>
      </w:pPr>
    </w:p>
    <w:p w:rsidR="004A2551" w:rsidRPr="0061698C" w:rsidRDefault="004A2551" w:rsidP="00E04B75">
      <w:pPr>
        <w:rPr>
          <w:rFonts w:ascii="Calibri" w:hAnsi="Calibri" w:cs="Calibri"/>
          <w:sz w:val="22"/>
          <w:szCs w:val="22"/>
        </w:rPr>
      </w:pPr>
      <w:r w:rsidRPr="0061698C">
        <w:rPr>
          <w:rFonts w:ascii="Calibri" w:hAnsi="Calibri" w:cs="Calibri"/>
          <w:sz w:val="22"/>
          <w:szCs w:val="22"/>
        </w:rPr>
        <w:t>The key objectives of the document is to</w:t>
      </w:r>
    </w:p>
    <w:p w:rsidR="00E04B75" w:rsidRPr="0061698C" w:rsidRDefault="00E04B75" w:rsidP="00E04B75">
      <w:pPr>
        <w:rPr>
          <w:rFonts w:ascii="Calibri" w:hAnsi="Calibri" w:cs="Calibri"/>
          <w:sz w:val="22"/>
          <w:szCs w:val="22"/>
        </w:rPr>
      </w:pPr>
    </w:p>
    <w:p w:rsidR="00E04B75" w:rsidRPr="00AB6B2D" w:rsidRDefault="004A2551" w:rsidP="00E04B75">
      <w:pPr>
        <w:pStyle w:val="ListParagraph"/>
        <w:numPr>
          <w:ilvl w:val="0"/>
          <w:numId w:val="19"/>
        </w:numPr>
        <w:spacing w:line="276" w:lineRule="auto"/>
        <w:contextualSpacing/>
        <w:rPr>
          <w:rFonts w:ascii="Calibri" w:hAnsi="Calibri" w:cs="Calibri"/>
          <w:sz w:val="22"/>
          <w:szCs w:val="22"/>
        </w:rPr>
      </w:pPr>
      <w:r w:rsidRPr="0061698C">
        <w:rPr>
          <w:rFonts w:ascii="Calibri" w:hAnsi="Calibri" w:cs="Calibri"/>
          <w:sz w:val="22"/>
          <w:szCs w:val="22"/>
        </w:rPr>
        <w:t>E</w:t>
      </w:r>
      <w:r w:rsidR="00E04B75" w:rsidRPr="0061698C">
        <w:rPr>
          <w:rFonts w:ascii="Calibri" w:hAnsi="Calibri" w:cs="Calibri"/>
          <w:sz w:val="22"/>
          <w:szCs w:val="22"/>
        </w:rPr>
        <w:t xml:space="preserve">stablish rules and procedures for fostering confidence that the labelling and content of prepackages comply with all the relevant legal requirements. </w:t>
      </w:r>
    </w:p>
    <w:p w:rsidR="00E04B75" w:rsidRPr="00AB6B2D" w:rsidRDefault="004A2551" w:rsidP="00E04B75">
      <w:pPr>
        <w:pStyle w:val="ListParagraph"/>
        <w:numPr>
          <w:ilvl w:val="0"/>
          <w:numId w:val="19"/>
        </w:numPr>
        <w:spacing w:line="276" w:lineRule="auto"/>
        <w:contextualSpacing/>
        <w:rPr>
          <w:rFonts w:ascii="Calibri" w:hAnsi="Calibri" w:cs="Calibri"/>
          <w:sz w:val="22"/>
          <w:szCs w:val="22"/>
        </w:rPr>
      </w:pPr>
      <w:r w:rsidRPr="0061698C">
        <w:rPr>
          <w:rFonts w:ascii="Calibri" w:hAnsi="Calibri" w:cs="Calibri"/>
          <w:sz w:val="22"/>
          <w:szCs w:val="22"/>
        </w:rPr>
        <w:t>P</w:t>
      </w:r>
      <w:r w:rsidR="00E04B75" w:rsidRPr="0061698C">
        <w:rPr>
          <w:rFonts w:ascii="Calibri" w:hAnsi="Calibri" w:cs="Calibri"/>
          <w:sz w:val="22"/>
          <w:szCs w:val="22"/>
        </w:rPr>
        <w:t xml:space="preserve">romote efficiency of the control of prepackages whilst maintaining confidence in and facilitating trade of </w:t>
      </w:r>
      <w:proofErr w:type="spellStart"/>
      <w:r w:rsidR="00E04B75" w:rsidRPr="0061698C">
        <w:rPr>
          <w:rFonts w:ascii="Calibri" w:hAnsi="Calibri" w:cs="Calibri"/>
          <w:sz w:val="22"/>
          <w:szCs w:val="22"/>
        </w:rPr>
        <w:t>prepackaged</w:t>
      </w:r>
      <w:proofErr w:type="spellEnd"/>
      <w:r w:rsidR="00E04B75" w:rsidRPr="0061698C">
        <w:rPr>
          <w:rFonts w:ascii="Calibri" w:hAnsi="Calibri" w:cs="Calibri"/>
          <w:sz w:val="22"/>
          <w:szCs w:val="22"/>
        </w:rPr>
        <w:t xml:space="preserve"> products.</w:t>
      </w:r>
    </w:p>
    <w:p w:rsidR="00E04B75" w:rsidRPr="0061698C" w:rsidRDefault="004A2551" w:rsidP="0061698C">
      <w:pPr>
        <w:pStyle w:val="ListParagraph"/>
        <w:numPr>
          <w:ilvl w:val="0"/>
          <w:numId w:val="19"/>
        </w:numPr>
        <w:spacing w:line="276" w:lineRule="auto"/>
        <w:contextualSpacing/>
        <w:rPr>
          <w:rFonts w:ascii="Calibri" w:hAnsi="Calibri" w:cs="Calibri"/>
          <w:sz w:val="22"/>
          <w:szCs w:val="22"/>
        </w:rPr>
      </w:pPr>
      <w:r w:rsidRPr="0061698C">
        <w:rPr>
          <w:rFonts w:ascii="Calibri" w:hAnsi="Calibri" w:cs="Calibri"/>
          <w:sz w:val="22"/>
          <w:szCs w:val="22"/>
        </w:rPr>
        <w:t>P</w:t>
      </w:r>
      <w:r w:rsidR="00E04B75" w:rsidRPr="0061698C">
        <w:rPr>
          <w:rFonts w:ascii="Calibri" w:hAnsi="Calibri" w:cs="Calibri"/>
          <w:sz w:val="22"/>
          <w:szCs w:val="22"/>
        </w:rPr>
        <w:t>romote the harmonization, uniform interpretation, and implementation of legal metrology requirements for the quantity of product in prepackages including labelling requirements and of production system requirements.</w:t>
      </w:r>
    </w:p>
    <w:p w:rsidR="00E04B75" w:rsidRPr="0061698C" w:rsidRDefault="00E04B75" w:rsidP="00E04B75">
      <w:pPr>
        <w:rPr>
          <w:rFonts w:ascii="Calibri" w:hAnsi="Calibri" w:cs="Calibri"/>
          <w:sz w:val="22"/>
          <w:szCs w:val="22"/>
        </w:rPr>
      </w:pPr>
    </w:p>
    <w:p w:rsidR="004A2551" w:rsidRPr="0061698C" w:rsidRDefault="004A2551" w:rsidP="00E04B75">
      <w:pPr>
        <w:rPr>
          <w:rFonts w:ascii="Calibri" w:hAnsi="Calibri" w:cs="Calibri"/>
          <w:sz w:val="22"/>
          <w:szCs w:val="22"/>
        </w:rPr>
      </w:pPr>
      <w:r w:rsidRPr="0061698C">
        <w:rPr>
          <w:rFonts w:ascii="Calibri" w:hAnsi="Calibri" w:cs="Calibri"/>
          <w:sz w:val="22"/>
          <w:szCs w:val="22"/>
        </w:rPr>
        <w:t xml:space="preserve">The guidance </w:t>
      </w:r>
      <w:r w:rsidR="0061698C" w:rsidRPr="0061698C">
        <w:rPr>
          <w:rFonts w:ascii="Calibri" w:hAnsi="Calibri" w:cs="Calibri"/>
          <w:sz w:val="22"/>
          <w:szCs w:val="22"/>
        </w:rPr>
        <w:t>document will provide a number of different certification schemes. Each scheme has different elements which a national authority can choose to adopt or not depending on the control they want to maintain.</w:t>
      </w:r>
    </w:p>
    <w:p w:rsidR="004A2551" w:rsidRPr="00C675AA" w:rsidRDefault="004A2551" w:rsidP="00E04B75">
      <w:pPr>
        <w:rPr>
          <w:rFonts w:ascii="Calibri" w:hAnsi="Calibri" w:cs="Calibri"/>
          <w:sz w:val="22"/>
          <w:szCs w:val="22"/>
        </w:rPr>
      </w:pPr>
    </w:p>
    <w:p w:rsidR="00E04B75" w:rsidRPr="00C675AA" w:rsidRDefault="00E04B75" w:rsidP="00E04B75">
      <w:pPr>
        <w:rPr>
          <w:rFonts w:ascii="Calibri" w:hAnsi="Calibri" w:cs="Calibri"/>
          <w:sz w:val="22"/>
          <w:szCs w:val="22"/>
        </w:rPr>
      </w:pPr>
      <w:r w:rsidRPr="00C675AA">
        <w:rPr>
          <w:rFonts w:ascii="Calibri" w:hAnsi="Calibri" w:cs="Calibri"/>
          <w:sz w:val="22"/>
          <w:szCs w:val="22"/>
        </w:rPr>
        <w:t>4.4</w:t>
      </w:r>
      <w:r w:rsidRPr="00C675AA">
        <w:rPr>
          <w:rFonts w:ascii="Calibri" w:hAnsi="Calibri" w:cs="Calibri"/>
          <w:sz w:val="22"/>
          <w:szCs w:val="22"/>
        </w:rPr>
        <w:tab/>
        <w:t xml:space="preserve">Elements for a certification scheme for prepackages </w:t>
      </w:r>
    </w:p>
    <w:tbl>
      <w:tblPr>
        <w:tblStyle w:val="TableGrid"/>
        <w:tblW w:w="0" w:type="auto"/>
        <w:tblLook w:val="04A0" w:firstRow="1" w:lastRow="0" w:firstColumn="1" w:lastColumn="0" w:noHBand="0" w:noVBand="1"/>
      </w:tblPr>
      <w:tblGrid>
        <w:gridCol w:w="1071"/>
        <w:gridCol w:w="4800"/>
        <w:gridCol w:w="532"/>
        <w:gridCol w:w="545"/>
        <w:gridCol w:w="544"/>
        <w:gridCol w:w="544"/>
        <w:gridCol w:w="420"/>
        <w:gridCol w:w="415"/>
        <w:gridCol w:w="371"/>
      </w:tblGrid>
      <w:tr w:rsidR="00E04B75" w:rsidRPr="00C675AA" w:rsidTr="00E04B75">
        <w:tc>
          <w:tcPr>
            <w:tcW w:w="5871" w:type="dxa"/>
            <w:gridSpan w:val="2"/>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Scheme elements</w:t>
            </w:r>
          </w:p>
        </w:tc>
        <w:tc>
          <w:tcPr>
            <w:tcW w:w="3371" w:type="dxa"/>
            <w:gridSpan w:val="7"/>
          </w:tcPr>
          <w:p w:rsidR="00E04B75" w:rsidRPr="00C675AA" w:rsidRDefault="00E04B75" w:rsidP="00E04B75">
            <w:pPr>
              <w:rPr>
                <w:rFonts w:ascii="Calibri" w:hAnsi="Calibri" w:cs="Calibri"/>
                <w:sz w:val="22"/>
                <w:szCs w:val="22"/>
              </w:rPr>
            </w:pPr>
            <w:r w:rsidRPr="00C675AA">
              <w:rPr>
                <w:rFonts w:ascii="Calibri" w:hAnsi="Calibri" w:cs="Calibri"/>
                <w:sz w:val="22"/>
                <w:szCs w:val="22"/>
              </w:rPr>
              <w:t>Different schemes</w:t>
            </w:r>
          </w:p>
        </w:tc>
      </w:tr>
      <w:tr w:rsidR="00E04B75" w:rsidRPr="00C675AA" w:rsidTr="00E04B75">
        <w:tc>
          <w:tcPr>
            <w:tcW w:w="5871" w:type="dxa"/>
            <w:gridSpan w:val="2"/>
            <w:vMerge/>
          </w:tcPr>
          <w:p w:rsidR="00E04B75" w:rsidRPr="00C675AA" w:rsidRDefault="00E04B75" w:rsidP="00E04B75">
            <w:pPr>
              <w:rPr>
                <w:rFonts w:ascii="Calibri" w:hAnsi="Calibri" w:cs="Calibri"/>
                <w:sz w:val="22"/>
                <w:szCs w:val="22"/>
              </w:rPr>
            </w:pPr>
          </w:p>
        </w:tc>
        <w:tc>
          <w:tcPr>
            <w:tcW w:w="532"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A</w:t>
            </w:r>
          </w:p>
        </w:tc>
        <w:tc>
          <w:tcPr>
            <w:tcW w:w="54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B</w:t>
            </w:r>
          </w:p>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C</w:t>
            </w:r>
          </w:p>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D</w:t>
            </w:r>
          </w:p>
        </w:tc>
        <w:tc>
          <w:tcPr>
            <w:tcW w:w="42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E</w:t>
            </w:r>
          </w:p>
        </w:tc>
        <w:tc>
          <w:tcPr>
            <w:tcW w:w="41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F</w:t>
            </w:r>
          </w:p>
        </w:tc>
        <w:tc>
          <w:tcPr>
            <w:tcW w:w="3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N</w:t>
            </w: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4.4.1</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Production system assessment</w:t>
            </w:r>
          </w:p>
        </w:tc>
        <w:tc>
          <w:tcPr>
            <w:tcW w:w="532"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5"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20"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4.4.1.1</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Statement of requirements</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4.4.1.2</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Application for certification</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4.4.1.3</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Initial assessment of production system</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4.4.1.4</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Review the evidence of compliance</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4.4.2</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Certification of the production system</w:t>
            </w:r>
          </w:p>
        </w:tc>
        <w:tc>
          <w:tcPr>
            <w:tcW w:w="532"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5"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20"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4.4.2.1</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Decision on certification</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4.4.2.2</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Issuing of a certificate</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4.4.2.3</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Registration of certificates</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4.4.3</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Licensing</w:t>
            </w:r>
          </w:p>
        </w:tc>
        <w:tc>
          <w:tcPr>
            <w:tcW w:w="532" w:type="dxa"/>
            <w:vMerge w:val="restart"/>
          </w:tcPr>
          <w:p w:rsidR="00E04B75" w:rsidRPr="00C675AA" w:rsidRDefault="00E04B75" w:rsidP="00E04B75">
            <w:pPr>
              <w:rPr>
                <w:rFonts w:ascii="Calibri" w:hAnsi="Calibri" w:cs="Calibri"/>
                <w:sz w:val="22"/>
                <w:szCs w:val="22"/>
              </w:rPr>
            </w:pPr>
          </w:p>
        </w:tc>
        <w:tc>
          <w:tcPr>
            <w:tcW w:w="545" w:type="dxa"/>
            <w:vMerge w:val="restart"/>
          </w:tcPr>
          <w:p w:rsidR="00E04B75" w:rsidRPr="00C675AA" w:rsidRDefault="00E04B75" w:rsidP="00E04B75">
            <w:pPr>
              <w:rPr>
                <w:rFonts w:ascii="Calibri" w:hAnsi="Calibri" w:cs="Calibri"/>
                <w:sz w:val="22"/>
                <w:szCs w:val="22"/>
              </w:rPr>
            </w:pP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20"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vMerge w:val="restart"/>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vMerge w:val="restart"/>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4.4.3.1</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Granting the right to use certificates</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4.4.3.2</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 xml:space="preserve">Granting the right to use marks of conformity </w:t>
            </w:r>
          </w:p>
        </w:tc>
        <w:tc>
          <w:tcPr>
            <w:tcW w:w="532" w:type="dxa"/>
            <w:vMerge/>
          </w:tcPr>
          <w:p w:rsidR="00E04B75" w:rsidRPr="00C675AA" w:rsidRDefault="00E04B75" w:rsidP="00E04B75">
            <w:pPr>
              <w:rPr>
                <w:rFonts w:ascii="Calibri" w:hAnsi="Calibri" w:cs="Calibri"/>
                <w:sz w:val="22"/>
                <w:szCs w:val="22"/>
              </w:rPr>
            </w:pPr>
          </w:p>
        </w:tc>
        <w:tc>
          <w:tcPr>
            <w:tcW w:w="545"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544" w:type="dxa"/>
            <w:vMerge/>
          </w:tcPr>
          <w:p w:rsidR="00E04B75" w:rsidRPr="00C675AA" w:rsidRDefault="00E04B75" w:rsidP="00E04B75">
            <w:pPr>
              <w:rPr>
                <w:rFonts w:ascii="Calibri" w:hAnsi="Calibri" w:cs="Calibri"/>
                <w:sz w:val="22"/>
                <w:szCs w:val="22"/>
              </w:rPr>
            </w:pPr>
          </w:p>
        </w:tc>
        <w:tc>
          <w:tcPr>
            <w:tcW w:w="420" w:type="dxa"/>
            <w:vMerge/>
          </w:tcPr>
          <w:p w:rsidR="00E04B75" w:rsidRPr="00C675AA" w:rsidRDefault="00E04B75" w:rsidP="00E04B75">
            <w:pPr>
              <w:rPr>
                <w:rFonts w:ascii="Calibri" w:hAnsi="Calibri" w:cs="Calibri"/>
                <w:sz w:val="22"/>
                <w:szCs w:val="22"/>
              </w:rPr>
            </w:pPr>
          </w:p>
        </w:tc>
        <w:tc>
          <w:tcPr>
            <w:tcW w:w="415" w:type="dxa"/>
            <w:vMerge/>
          </w:tcPr>
          <w:p w:rsidR="00E04B75" w:rsidRPr="00C675AA" w:rsidRDefault="00E04B75" w:rsidP="00E04B75">
            <w:pPr>
              <w:rPr>
                <w:rFonts w:ascii="Calibri" w:hAnsi="Calibri" w:cs="Calibri"/>
                <w:sz w:val="22"/>
                <w:szCs w:val="22"/>
              </w:rPr>
            </w:pPr>
          </w:p>
        </w:tc>
        <w:tc>
          <w:tcPr>
            <w:tcW w:w="371" w:type="dxa"/>
            <w:vMerge/>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4.4.4</w:t>
            </w:r>
          </w:p>
        </w:tc>
        <w:tc>
          <w:tcPr>
            <w:tcW w:w="8171" w:type="dxa"/>
            <w:gridSpan w:val="8"/>
          </w:tcPr>
          <w:p w:rsidR="00E04B75" w:rsidRPr="00C675AA" w:rsidRDefault="00E04B75" w:rsidP="00E04B75">
            <w:pPr>
              <w:rPr>
                <w:rFonts w:ascii="Calibri" w:hAnsi="Calibri" w:cs="Calibri"/>
                <w:sz w:val="22"/>
                <w:szCs w:val="22"/>
              </w:rPr>
            </w:pPr>
            <w:r w:rsidRPr="00C675AA">
              <w:rPr>
                <w:rFonts w:ascii="Calibri" w:hAnsi="Calibri" w:cs="Calibri"/>
                <w:sz w:val="22"/>
                <w:szCs w:val="22"/>
              </w:rPr>
              <w:t>Post certification conformity assessment activities</w:t>
            </w: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4.4.4.1</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Surveillance at point of production</w:t>
            </w:r>
          </w:p>
        </w:tc>
        <w:tc>
          <w:tcPr>
            <w:tcW w:w="532" w:type="dxa"/>
          </w:tcPr>
          <w:p w:rsidR="00E04B75" w:rsidRPr="00C675AA" w:rsidRDefault="00E04B75" w:rsidP="00E04B75">
            <w:pPr>
              <w:rPr>
                <w:rFonts w:ascii="Calibri" w:hAnsi="Calibri" w:cs="Calibri"/>
                <w:sz w:val="22"/>
                <w:szCs w:val="22"/>
              </w:rPr>
            </w:pPr>
          </w:p>
        </w:tc>
        <w:tc>
          <w:tcPr>
            <w:tcW w:w="545" w:type="dxa"/>
          </w:tcPr>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tcPr>
          <w:p w:rsidR="00E04B75" w:rsidRPr="00C675AA" w:rsidRDefault="00E04B75" w:rsidP="00E04B75">
            <w:pPr>
              <w:rPr>
                <w:rFonts w:ascii="Calibri" w:hAnsi="Calibri" w:cs="Calibri"/>
                <w:sz w:val="22"/>
                <w:szCs w:val="22"/>
              </w:rPr>
            </w:pPr>
          </w:p>
        </w:tc>
        <w:tc>
          <w:tcPr>
            <w:tcW w:w="42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4.4.4.2</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Surveillance in market place</w:t>
            </w:r>
          </w:p>
        </w:tc>
        <w:tc>
          <w:tcPr>
            <w:tcW w:w="532" w:type="dxa"/>
          </w:tcPr>
          <w:p w:rsidR="00E04B75" w:rsidRPr="00C675AA" w:rsidRDefault="00E04B75" w:rsidP="00E04B75">
            <w:pPr>
              <w:rPr>
                <w:rFonts w:ascii="Calibri" w:hAnsi="Calibri" w:cs="Calibri"/>
                <w:sz w:val="22"/>
                <w:szCs w:val="22"/>
              </w:rPr>
            </w:pPr>
          </w:p>
        </w:tc>
        <w:tc>
          <w:tcPr>
            <w:tcW w:w="545" w:type="dxa"/>
          </w:tcPr>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2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4.4.4.3</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Batch licensing</w:t>
            </w:r>
          </w:p>
        </w:tc>
        <w:tc>
          <w:tcPr>
            <w:tcW w:w="532" w:type="dxa"/>
          </w:tcPr>
          <w:p w:rsidR="00E04B75" w:rsidRPr="00C675AA" w:rsidRDefault="00E04B75" w:rsidP="00E04B75">
            <w:pPr>
              <w:rPr>
                <w:rFonts w:ascii="Calibri" w:hAnsi="Calibri" w:cs="Calibri"/>
                <w:sz w:val="22"/>
                <w:szCs w:val="22"/>
              </w:rPr>
            </w:pPr>
          </w:p>
        </w:tc>
        <w:tc>
          <w:tcPr>
            <w:tcW w:w="54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tcPr>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p>
        </w:tc>
        <w:tc>
          <w:tcPr>
            <w:tcW w:w="420" w:type="dxa"/>
          </w:tcPr>
          <w:p w:rsidR="00E04B75" w:rsidRPr="00C675AA" w:rsidRDefault="00E04B75" w:rsidP="00E04B75">
            <w:pPr>
              <w:rPr>
                <w:rFonts w:ascii="Calibri" w:hAnsi="Calibri" w:cs="Calibri"/>
                <w:sz w:val="22"/>
                <w:szCs w:val="22"/>
              </w:rPr>
            </w:pPr>
          </w:p>
        </w:tc>
        <w:tc>
          <w:tcPr>
            <w:tcW w:w="41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tcPr>
          <w:p w:rsidR="00E04B75" w:rsidRPr="00C675AA" w:rsidRDefault="00E04B75" w:rsidP="00E04B75">
            <w:pPr>
              <w:rPr>
                <w:rFonts w:ascii="Calibri" w:hAnsi="Calibri" w:cs="Calibri"/>
                <w:sz w:val="22"/>
                <w:szCs w:val="22"/>
              </w:rPr>
            </w:pPr>
          </w:p>
        </w:tc>
      </w:tr>
      <w:tr w:rsidR="00E04B75" w:rsidRPr="00C675AA" w:rsidTr="00E04B75">
        <w:tc>
          <w:tcPr>
            <w:tcW w:w="1071"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4.4.4.4</w:t>
            </w:r>
          </w:p>
        </w:tc>
        <w:tc>
          <w:tcPr>
            <w:tcW w:w="480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Surveillance of the production system</w:t>
            </w:r>
          </w:p>
        </w:tc>
        <w:tc>
          <w:tcPr>
            <w:tcW w:w="532" w:type="dxa"/>
          </w:tcPr>
          <w:p w:rsidR="00E04B75" w:rsidRPr="00C675AA" w:rsidRDefault="00E04B75" w:rsidP="00E04B75">
            <w:pPr>
              <w:rPr>
                <w:rFonts w:ascii="Calibri" w:hAnsi="Calibri" w:cs="Calibri"/>
                <w:sz w:val="22"/>
                <w:szCs w:val="22"/>
              </w:rPr>
            </w:pPr>
          </w:p>
        </w:tc>
        <w:tc>
          <w:tcPr>
            <w:tcW w:w="545" w:type="dxa"/>
          </w:tcPr>
          <w:p w:rsidR="00E04B75" w:rsidRPr="00C675AA" w:rsidRDefault="00E04B75" w:rsidP="00E04B75">
            <w:pPr>
              <w:rPr>
                <w:rFonts w:ascii="Calibri" w:hAnsi="Calibri" w:cs="Calibri"/>
                <w:sz w:val="22"/>
                <w:szCs w:val="22"/>
              </w:rPr>
            </w:pP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544"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20"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415" w:type="dxa"/>
          </w:tcPr>
          <w:p w:rsidR="00E04B75" w:rsidRPr="00C675AA" w:rsidRDefault="00E04B75" w:rsidP="00E04B75">
            <w:pPr>
              <w:rPr>
                <w:rFonts w:ascii="Calibri" w:hAnsi="Calibri" w:cs="Calibri"/>
                <w:sz w:val="22"/>
                <w:szCs w:val="22"/>
              </w:rPr>
            </w:pPr>
            <w:r w:rsidRPr="00C675AA">
              <w:rPr>
                <w:rFonts w:ascii="Calibri" w:hAnsi="Calibri" w:cs="Calibri"/>
                <w:sz w:val="22"/>
                <w:szCs w:val="22"/>
              </w:rPr>
              <w:t>x</w:t>
            </w:r>
          </w:p>
        </w:tc>
        <w:tc>
          <w:tcPr>
            <w:tcW w:w="371" w:type="dxa"/>
          </w:tcPr>
          <w:p w:rsidR="00E04B75" w:rsidRPr="00C675AA" w:rsidRDefault="00E04B75" w:rsidP="00E04B75">
            <w:pPr>
              <w:rPr>
                <w:rFonts w:ascii="Calibri" w:hAnsi="Calibri" w:cs="Calibri"/>
                <w:sz w:val="22"/>
                <w:szCs w:val="22"/>
              </w:rPr>
            </w:pPr>
          </w:p>
        </w:tc>
      </w:tr>
      <w:tr w:rsidR="00E04B75" w:rsidRPr="00C675AA" w:rsidTr="00E04B75">
        <w:tc>
          <w:tcPr>
            <w:tcW w:w="9242" w:type="dxa"/>
            <w:gridSpan w:val="9"/>
          </w:tcPr>
          <w:p w:rsidR="00E04B75" w:rsidRPr="00C675AA" w:rsidRDefault="00E04B75" w:rsidP="00E04B75">
            <w:pPr>
              <w:rPr>
                <w:rFonts w:ascii="Calibri" w:hAnsi="Calibri" w:cs="Calibri"/>
                <w:sz w:val="22"/>
                <w:szCs w:val="22"/>
              </w:rPr>
            </w:pPr>
            <w:r w:rsidRPr="00C675AA">
              <w:rPr>
                <w:rFonts w:ascii="Calibri" w:hAnsi="Calibri" w:cs="Calibri"/>
                <w:sz w:val="22"/>
                <w:szCs w:val="22"/>
              </w:rPr>
              <w:t>N – has been added to show an undefined number of possible other schemes which can be based on different activities</w:t>
            </w:r>
          </w:p>
        </w:tc>
      </w:tr>
    </w:tbl>
    <w:p w:rsidR="00E04B75" w:rsidRPr="00C675AA" w:rsidRDefault="00E04B75" w:rsidP="00E04B75">
      <w:pPr>
        <w:rPr>
          <w:rFonts w:ascii="Calibri" w:hAnsi="Calibri" w:cs="Calibri"/>
          <w:sz w:val="22"/>
          <w:szCs w:val="22"/>
        </w:rPr>
      </w:pPr>
      <w:r w:rsidRPr="00C675AA">
        <w:rPr>
          <w:rFonts w:ascii="Calibri" w:hAnsi="Calibri" w:cs="Calibri"/>
          <w:sz w:val="22"/>
          <w:szCs w:val="22"/>
        </w:rPr>
        <w:t>Table 1 - Elements for a certification scheme for prepackages</w:t>
      </w:r>
    </w:p>
    <w:p w:rsidR="00E04B75" w:rsidRPr="00C675AA" w:rsidRDefault="007D081D" w:rsidP="00E04B75">
      <w:pPr>
        <w:rPr>
          <w:rFonts w:ascii="Calibri" w:hAnsi="Calibri" w:cs="Calibri"/>
          <w:sz w:val="22"/>
          <w:szCs w:val="22"/>
        </w:rPr>
      </w:pPr>
      <w:r w:rsidRPr="00C675AA">
        <w:rPr>
          <w:rFonts w:ascii="Calibri" w:hAnsi="Calibri" w:cs="Calibri"/>
          <w:sz w:val="22"/>
          <w:szCs w:val="22"/>
        </w:rPr>
        <w:t>Annex’s</w:t>
      </w:r>
      <w:r w:rsidR="00AB6B2D">
        <w:rPr>
          <w:rFonts w:ascii="Calibri" w:hAnsi="Calibri" w:cs="Calibri"/>
          <w:sz w:val="22"/>
          <w:szCs w:val="22"/>
        </w:rPr>
        <w:t xml:space="preserve"> to this document</w:t>
      </w:r>
      <w:r w:rsidRPr="00C675AA">
        <w:rPr>
          <w:rFonts w:ascii="Calibri" w:hAnsi="Calibri" w:cs="Calibri"/>
          <w:sz w:val="22"/>
          <w:szCs w:val="22"/>
        </w:rPr>
        <w:t xml:space="preserve"> then provide further detailed information and guidance on  the systems documentation, minimum requirements of a certification body, contents of a certificate, design and application of a conformity mark, resolution of complaints and disputes</w:t>
      </w:r>
      <w:r w:rsidR="00AB6B2D">
        <w:rPr>
          <w:rFonts w:ascii="Calibri" w:hAnsi="Calibri" w:cs="Calibri"/>
          <w:sz w:val="22"/>
          <w:szCs w:val="22"/>
        </w:rPr>
        <w:t>.</w:t>
      </w:r>
      <w:r w:rsidRPr="00C675AA">
        <w:rPr>
          <w:rFonts w:ascii="Calibri" w:hAnsi="Calibri" w:cs="Calibri"/>
          <w:sz w:val="22"/>
          <w:szCs w:val="22"/>
        </w:rPr>
        <w:t xml:space="preserve">     </w:t>
      </w:r>
    </w:p>
    <w:p w:rsidR="00622974" w:rsidRPr="00C675AA" w:rsidRDefault="00622974" w:rsidP="00E04B75">
      <w:pPr>
        <w:rPr>
          <w:rFonts w:ascii="Calibri" w:hAnsi="Calibri" w:cs="Calibri"/>
          <w:sz w:val="22"/>
          <w:szCs w:val="22"/>
        </w:rPr>
      </w:pPr>
    </w:p>
    <w:p w:rsidR="00622974" w:rsidRPr="00C675AA" w:rsidRDefault="00622974" w:rsidP="00E04B75">
      <w:pPr>
        <w:rPr>
          <w:rFonts w:ascii="Calibri" w:hAnsi="Calibri" w:cs="Calibri"/>
          <w:sz w:val="22"/>
          <w:szCs w:val="22"/>
        </w:rPr>
      </w:pPr>
    </w:p>
    <w:p w:rsidR="00C675AA" w:rsidRPr="00AB6B2D" w:rsidRDefault="00C675AA" w:rsidP="00AB6B2D">
      <w:pPr>
        <w:rPr>
          <w:rFonts w:ascii="Calibri" w:hAnsi="Calibri" w:cs="Calibri"/>
          <w:sz w:val="22"/>
          <w:szCs w:val="22"/>
        </w:rPr>
      </w:pPr>
      <w:r w:rsidRPr="00AB6B2D">
        <w:rPr>
          <w:rFonts w:ascii="Calibri" w:hAnsi="Calibri" w:cs="Calibri"/>
          <w:sz w:val="22"/>
          <w:szCs w:val="22"/>
        </w:rPr>
        <w:t>The meeting resolved that the secretariat</w:t>
      </w:r>
      <w:r w:rsidR="00EB075E">
        <w:rPr>
          <w:rFonts w:ascii="Calibri" w:hAnsi="Calibri" w:cs="Calibri"/>
          <w:sz w:val="22"/>
          <w:szCs w:val="22"/>
        </w:rPr>
        <w:t>,</w:t>
      </w:r>
      <w:r w:rsidRPr="00AB6B2D">
        <w:rPr>
          <w:rFonts w:ascii="Calibri" w:hAnsi="Calibri" w:cs="Calibri"/>
          <w:sz w:val="22"/>
          <w:szCs w:val="22"/>
        </w:rPr>
        <w:t xml:space="preserve"> after amending the document appropriately to reflect all changes requested by members, </w:t>
      </w:r>
      <w:r w:rsidR="00EB075E">
        <w:rPr>
          <w:rFonts w:ascii="Calibri" w:hAnsi="Calibri" w:cs="Calibri"/>
          <w:sz w:val="22"/>
          <w:szCs w:val="22"/>
        </w:rPr>
        <w:t xml:space="preserve">will </w:t>
      </w:r>
      <w:r w:rsidRPr="00AB6B2D">
        <w:rPr>
          <w:rFonts w:ascii="Calibri" w:hAnsi="Calibri" w:cs="Calibri"/>
          <w:sz w:val="22"/>
          <w:szCs w:val="22"/>
        </w:rPr>
        <w:t>forward the document to members as a C</w:t>
      </w:r>
      <w:r w:rsidR="00AB6B2D">
        <w:rPr>
          <w:rFonts w:ascii="Calibri" w:hAnsi="Calibri" w:cs="Calibri"/>
          <w:sz w:val="22"/>
          <w:szCs w:val="22"/>
        </w:rPr>
        <w:t xml:space="preserve">ommittee </w:t>
      </w:r>
      <w:r w:rsidRPr="00AB6B2D">
        <w:rPr>
          <w:rFonts w:ascii="Calibri" w:hAnsi="Calibri" w:cs="Calibri"/>
          <w:sz w:val="22"/>
          <w:szCs w:val="22"/>
        </w:rPr>
        <w:t>D</w:t>
      </w:r>
      <w:r w:rsidR="00AB6B2D">
        <w:rPr>
          <w:rFonts w:ascii="Calibri" w:hAnsi="Calibri" w:cs="Calibri"/>
          <w:sz w:val="22"/>
          <w:szCs w:val="22"/>
        </w:rPr>
        <w:t>raft</w:t>
      </w:r>
      <w:r w:rsidRPr="00AB6B2D">
        <w:rPr>
          <w:rFonts w:ascii="Calibri" w:hAnsi="Calibri" w:cs="Calibri"/>
          <w:sz w:val="22"/>
          <w:szCs w:val="22"/>
        </w:rPr>
        <w:t xml:space="preserve"> 2 and request for a formal vote.</w:t>
      </w:r>
    </w:p>
    <w:p w:rsidR="00C675AA" w:rsidRPr="00C675AA" w:rsidRDefault="00C675AA" w:rsidP="00C675AA">
      <w:pPr>
        <w:ind w:left="540" w:hanging="540"/>
        <w:rPr>
          <w:rFonts w:ascii="Calibri" w:hAnsi="Calibri" w:cs="Calibri"/>
          <w:sz w:val="22"/>
          <w:szCs w:val="22"/>
        </w:rPr>
      </w:pPr>
    </w:p>
    <w:p w:rsidR="00C675AA" w:rsidRPr="00AB6B2D" w:rsidRDefault="00C675AA" w:rsidP="00AB6B2D">
      <w:pPr>
        <w:rPr>
          <w:rFonts w:ascii="Calibri" w:hAnsi="Calibri" w:cs="Calibri"/>
          <w:sz w:val="22"/>
          <w:szCs w:val="22"/>
        </w:rPr>
      </w:pPr>
      <w:r w:rsidRPr="00AB6B2D">
        <w:rPr>
          <w:rFonts w:ascii="Calibri" w:hAnsi="Calibri" w:cs="Calibri"/>
          <w:sz w:val="22"/>
          <w:szCs w:val="22"/>
        </w:rPr>
        <w:t>The meeting resolved that the GCOP should be published in the “G”-series publications</w:t>
      </w:r>
      <w:r w:rsidR="00AB6B2D">
        <w:rPr>
          <w:rFonts w:ascii="Calibri" w:hAnsi="Calibri" w:cs="Calibri"/>
          <w:sz w:val="22"/>
          <w:szCs w:val="22"/>
        </w:rPr>
        <w:t xml:space="preserve"> when approved</w:t>
      </w:r>
      <w:r w:rsidRPr="00AB6B2D">
        <w:rPr>
          <w:rFonts w:ascii="Calibri" w:hAnsi="Calibri" w:cs="Calibri"/>
          <w:sz w:val="22"/>
          <w:szCs w:val="22"/>
        </w:rPr>
        <w:t>.</w:t>
      </w:r>
    </w:p>
    <w:p w:rsidR="00624A3E" w:rsidRDefault="00624A3E" w:rsidP="00624A3E">
      <w:pPr>
        <w:rPr>
          <w:rFonts w:ascii="Calibri" w:hAnsi="Calibri" w:cs="Calibri"/>
          <w:sz w:val="22"/>
          <w:szCs w:val="22"/>
        </w:rPr>
      </w:pPr>
    </w:p>
    <w:p w:rsidR="00572F64" w:rsidRPr="0085711E" w:rsidRDefault="00572F64" w:rsidP="00572F64">
      <w:pPr>
        <w:rPr>
          <w:rFonts w:ascii="Calibri" w:hAnsi="Calibri" w:cs="Calibri"/>
          <w:b/>
          <w:sz w:val="22"/>
          <w:szCs w:val="22"/>
          <w:u w:val="single"/>
        </w:rPr>
      </w:pPr>
    </w:p>
    <w:p w:rsidR="00572F64" w:rsidRPr="0085711E" w:rsidRDefault="00572F64" w:rsidP="00572F64">
      <w:pPr>
        <w:rPr>
          <w:rFonts w:ascii="Calibri" w:hAnsi="Calibri" w:cs="Calibri"/>
          <w:b/>
          <w:sz w:val="22"/>
          <w:szCs w:val="22"/>
          <w:u w:val="single"/>
        </w:rPr>
      </w:pPr>
    </w:p>
    <w:p w:rsidR="00572F64" w:rsidRPr="0085711E" w:rsidRDefault="00572F64" w:rsidP="00572F64">
      <w:pPr>
        <w:rPr>
          <w:rFonts w:ascii="Calibri" w:hAnsi="Calibri" w:cs="Calibri"/>
          <w:b/>
          <w:sz w:val="22"/>
          <w:szCs w:val="22"/>
          <w:u w:val="single"/>
        </w:rPr>
      </w:pPr>
      <w:r w:rsidRPr="0085711E">
        <w:rPr>
          <w:rFonts w:ascii="Calibri" w:hAnsi="Calibri" w:cs="Calibri"/>
          <w:b/>
          <w:sz w:val="22"/>
          <w:szCs w:val="22"/>
          <w:u w:val="single"/>
        </w:rPr>
        <w:t>Date and place of next meeting</w:t>
      </w:r>
    </w:p>
    <w:p w:rsidR="00572F64" w:rsidRPr="0085711E" w:rsidRDefault="00572F64" w:rsidP="00572F64">
      <w:pPr>
        <w:rPr>
          <w:rFonts w:ascii="Calibri" w:hAnsi="Calibri" w:cs="Calibri"/>
          <w:sz w:val="22"/>
          <w:szCs w:val="22"/>
        </w:rPr>
      </w:pPr>
    </w:p>
    <w:p w:rsidR="00572F64" w:rsidRPr="00C675AA" w:rsidRDefault="00C25495" w:rsidP="00572F64">
      <w:pPr>
        <w:rPr>
          <w:rFonts w:ascii="Calibri" w:hAnsi="Calibri" w:cs="Calibri"/>
          <w:sz w:val="22"/>
          <w:szCs w:val="22"/>
        </w:rPr>
      </w:pPr>
      <w:r w:rsidRPr="00C675AA">
        <w:rPr>
          <w:rFonts w:ascii="Calibri" w:hAnsi="Calibri" w:cs="Calibri"/>
          <w:sz w:val="22"/>
          <w:szCs w:val="22"/>
        </w:rPr>
        <w:t xml:space="preserve">Due to R79 and R87 being sent to </w:t>
      </w:r>
      <w:r w:rsidR="00C675AA" w:rsidRPr="00C675AA">
        <w:rPr>
          <w:rFonts w:ascii="Calibri" w:hAnsi="Calibri" w:cs="Calibri"/>
          <w:sz w:val="22"/>
          <w:szCs w:val="22"/>
        </w:rPr>
        <w:t xml:space="preserve">the </w:t>
      </w:r>
      <w:r w:rsidRPr="00C675AA">
        <w:rPr>
          <w:rFonts w:ascii="Calibri" w:hAnsi="Calibri" w:cs="Calibri"/>
          <w:sz w:val="22"/>
          <w:szCs w:val="22"/>
        </w:rPr>
        <w:t xml:space="preserve">CIML </w:t>
      </w:r>
      <w:r w:rsidR="00C675AA" w:rsidRPr="00C675AA">
        <w:rPr>
          <w:rFonts w:ascii="Calibri" w:hAnsi="Calibri" w:cs="Calibri"/>
          <w:sz w:val="22"/>
          <w:szCs w:val="22"/>
        </w:rPr>
        <w:t xml:space="preserve">meeting </w:t>
      </w:r>
      <w:r w:rsidRPr="00C675AA">
        <w:rPr>
          <w:rFonts w:ascii="Calibri" w:hAnsi="Calibri" w:cs="Calibri"/>
          <w:sz w:val="22"/>
          <w:szCs w:val="22"/>
        </w:rPr>
        <w:t>this year for</w:t>
      </w:r>
      <w:r w:rsidR="00C675AA" w:rsidRPr="00C675AA">
        <w:rPr>
          <w:rFonts w:ascii="Calibri" w:hAnsi="Calibri" w:cs="Calibri"/>
          <w:sz w:val="22"/>
          <w:szCs w:val="22"/>
        </w:rPr>
        <w:t xml:space="preserve"> preliminary ballot, </w:t>
      </w:r>
      <w:r w:rsidR="00AB6B2D" w:rsidRPr="00C675AA">
        <w:rPr>
          <w:rFonts w:ascii="Calibri" w:hAnsi="Calibri" w:cs="Calibri"/>
          <w:sz w:val="22"/>
          <w:szCs w:val="22"/>
        </w:rPr>
        <w:t>it</w:t>
      </w:r>
      <w:r w:rsidR="00572F64" w:rsidRPr="00C675AA">
        <w:rPr>
          <w:rFonts w:ascii="Calibri" w:hAnsi="Calibri" w:cs="Calibri"/>
          <w:sz w:val="22"/>
          <w:szCs w:val="22"/>
        </w:rPr>
        <w:t xml:space="preserve"> was agreed to </w:t>
      </w:r>
      <w:r w:rsidR="001C72DD" w:rsidRPr="00C675AA">
        <w:rPr>
          <w:rFonts w:ascii="Calibri" w:hAnsi="Calibri" w:cs="Calibri"/>
          <w:sz w:val="22"/>
          <w:szCs w:val="22"/>
        </w:rPr>
        <w:t>wait for the</w:t>
      </w:r>
      <w:r w:rsidR="00C675AA" w:rsidRPr="00C675AA">
        <w:rPr>
          <w:rFonts w:ascii="Calibri" w:hAnsi="Calibri" w:cs="Calibri"/>
          <w:sz w:val="22"/>
          <w:szCs w:val="22"/>
        </w:rPr>
        <w:t xml:space="preserve"> outcome prior to </w:t>
      </w:r>
      <w:r w:rsidRPr="00C675AA">
        <w:rPr>
          <w:rFonts w:ascii="Calibri" w:hAnsi="Calibri" w:cs="Calibri"/>
          <w:sz w:val="22"/>
          <w:szCs w:val="22"/>
        </w:rPr>
        <w:t xml:space="preserve">organising any future meeting. </w:t>
      </w:r>
      <w:r w:rsidR="001C72DD" w:rsidRPr="00C675AA">
        <w:rPr>
          <w:rFonts w:ascii="Calibri" w:hAnsi="Calibri" w:cs="Calibri"/>
          <w:sz w:val="22"/>
          <w:szCs w:val="22"/>
        </w:rPr>
        <w:t xml:space="preserve"> </w:t>
      </w:r>
    </w:p>
    <w:p w:rsidR="00572F64" w:rsidRPr="00122D95" w:rsidRDefault="00572F64" w:rsidP="00572F64">
      <w:pPr>
        <w:rPr>
          <w:rFonts w:ascii="Calibri" w:hAnsi="Calibri" w:cs="Calibri"/>
          <w:sz w:val="22"/>
          <w:szCs w:val="22"/>
          <w:highlight w:val="yellow"/>
        </w:rPr>
      </w:pPr>
    </w:p>
    <w:p w:rsidR="0075185A" w:rsidRPr="0085711E" w:rsidRDefault="0075185A" w:rsidP="00572F64">
      <w:pPr>
        <w:rPr>
          <w:rFonts w:ascii="Calibri" w:hAnsi="Calibri" w:cs="Calibri"/>
          <w:sz w:val="22"/>
          <w:szCs w:val="22"/>
        </w:rPr>
      </w:pPr>
    </w:p>
    <w:p w:rsidR="00572F64" w:rsidRPr="0085711E" w:rsidRDefault="00572F64" w:rsidP="00572F64">
      <w:pPr>
        <w:rPr>
          <w:rFonts w:ascii="Calibri" w:hAnsi="Calibri" w:cs="Calibri"/>
          <w:sz w:val="22"/>
          <w:szCs w:val="22"/>
        </w:rPr>
      </w:pPr>
    </w:p>
    <w:p w:rsidR="0051070C" w:rsidRPr="00CE1839" w:rsidRDefault="0051070C" w:rsidP="00CE1839">
      <w:pPr>
        <w:rPr>
          <w:rFonts w:ascii="Calibri" w:hAnsi="Calibri" w:cs="Calibri"/>
          <w:sz w:val="22"/>
          <w:szCs w:val="22"/>
        </w:rPr>
      </w:pPr>
    </w:p>
    <w:sectPr w:rsidR="0051070C" w:rsidRPr="00CE1839" w:rsidSect="00E04B75">
      <w:pgSz w:w="11906" w:h="16838"/>
      <w:pgMar w:top="1276" w:right="851" w:bottom="1440" w:left="851" w:header="62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70"/>
    <w:multiLevelType w:val="hybridMultilevel"/>
    <w:tmpl w:val="1954E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0E0E44"/>
    <w:multiLevelType w:val="hybridMultilevel"/>
    <w:tmpl w:val="15689B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4BE607C"/>
    <w:multiLevelType w:val="hybridMultilevel"/>
    <w:tmpl w:val="A93042C4"/>
    <w:lvl w:ilvl="0" w:tplc="CDCE0594">
      <w:start w:val="1"/>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52199"/>
    <w:multiLevelType w:val="hybridMultilevel"/>
    <w:tmpl w:val="5224A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9527A3E"/>
    <w:multiLevelType w:val="hybridMultilevel"/>
    <w:tmpl w:val="A65EF0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18631C"/>
    <w:multiLevelType w:val="hybridMultilevel"/>
    <w:tmpl w:val="D5524F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7B25B99"/>
    <w:multiLevelType w:val="hybridMultilevel"/>
    <w:tmpl w:val="C69CC8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E9C25C5"/>
    <w:multiLevelType w:val="hybridMultilevel"/>
    <w:tmpl w:val="685863A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4A06C9D"/>
    <w:multiLevelType w:val="hybridMultilevel"/>
    <w:tmpl w:val="40045F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4C2B45"/>
    <w:multiLevelType w:val="hybridMultilevel"/>
    <w:tmpl w:val="69E2A0FA"/>
    <w:lvl w:ilvl="0" w:tplc="0DA827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FB7DA0"/>
    <w:multiLevelType w:val="hybridMultilevel"/>
    <w:tmpl w:val="6644C980"/>
    <w:lvl w:ilvl="0" w:tplc="2E8C00FC">
      <w:start w:val="1"/>
      <w:numFmt w:val="bullet"/>
      <w:lvlText w:val=""/>
      <w:lvlJc w:val="left"/>
      <w:pPr>
        <w:tabs>
          <w:tab w:val="num" w:pos="720"/>
        </w:tabs>
        <w:ind w:left="720" w:hanging="360"/>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86E3D49"/>
    <w:multiLevelType w:val="hybridMultilevel"/>
    <w:tmpl w:val="A4385FCC"/>
    <w:lvl w:ilvl="0" w:tplc="1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266E0B"/>
    <w:multiLevelType w:val="hybridMultilevel"/>
    <w:tmpl w:val="192C09DA"/>
    <w:lvl w:ilvl="0" w:tplc="9E0E139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D8878C7"/>
    <w:multiLevelType w:val="hybridMultilevel"/>
    <w:tmpl w:val="69DA6C0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63440585"/>
    <w:multiLevelType w:val="hybridMultilevel"/>
    <w:tmpl w:val="7834F4B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53E5172"/>
    <w:multiLevelType w:val="hybridMultilevel"/>
    <w:tmpl w:val="96D60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84743D"/>
    <w:multiLevelType w:val="hybridMultilevel"/>
    <w:tmpl w:val="FDA8C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A5F09A1"/>
    <w:multiLevelType w:val="hybridMultilevel"/>
    <w:tmpl w:val="0D5E2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24E67D0"/>
    <w:multiLevelType w:val="hybridMultilevel"/>
    <w:tmpl w:val="81D06F1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2D22439"/>
    <w:multiLevelType w:val="hybridMultilevel"/>
    <w:tmpl w:val="6E88B7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88E2A37"/>
    <w:multiLevelType w:val="hybridMultilevel"/>
    <w:tmpl w:val="59D49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8"/>
  </w:num>
  <w:num w:numId="10">
    <w:abstractNumId w:val="1"/>
  </w:num>
  <w:num w:numId="11">
    <w:abstractNumId w:val="13"/>
  </w:num>
  <w:num w:numId="12">
    <w:abstractNumId w:val="12"/>
  </w:num>
  <w:num w:numId="13">
    <w:abstractNumId w:val="15"/>
  </w:num>
  <w:num w:numId="14">
    <w:abstractNumId w:val="17"/>
  </w:num>
  <w:num w:numId="15">
    <w:abstractNumId w:val="16"/>
  </w:num>
  <w:num w:numId="16">
    <w:abstractNumId w:val="3"/>
  </w:num>
  <w:num w:numId="17">
    <w:abstractNumId w:val="9"/>
  </w:num>
  <w:num w:numId="18">
    <w:abstractNumId w:val="0"/>
  </w:num>
  <w:num w:numId="19">
    <w:abstractNumId w:val="1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4"/>
    <w:rsid w:val="000256B1"/>
    <w:rsid w:val="0005233B"/>
    <w:rsid w:val="00053B12"/>
    <w:rsid w:val="000A7B81"/>
    <w:rsid w:val="000D5213"/>
    <w:rsid w:val="0010058D"/>
    <w:rsid w:val="00122D95"/>
    <w:rsid w:val="001C72DD"/>
    <w:rsid w:val="002047E5"/>
    <w:rsid w:val="003A0D53"/>
    <w:rsid w:val="003F2FF8"/>
    <w:rsid w:val="00460E5B"/>
    <w:rsid w:val="004A2551"/>
    <w:rsid w:val="0051070C"/>
    <w:rsid w:val="00572F64"/>
    <w:rsid w:val="0061698C"/>
    <w:rsid w:val="00622974"/>
    <w:rsid w:val="00624A3E"/>
    <w:rsid w:val="00737FC8"/>
    <w:rsid w:val="0075185A"/>
    <w:rsid w:val="00770D56"/>
    <w:rsid w:val="007C37B2"/>
    <w:rsid w:val="007D081D"/>
    <w:rsid w:val="007D4072"/>
    <w:rsid w:val="00810D95"/>
    <w:rsid w:val="00841215"/>
    <w:rsid w:val="008F126D"/>
    <w:rsid w:val="00932B06"/>
    <w:rsid w:val="00AB6B2D"/>
    <w:rsid w:val="00B1749D"/>
    <w:rsid w:val="00B63D1D"/>
    <w:rsid w:val="00B72574"/>
    <w:rsid w:val="00B91EE7"/>
    <w:rsid w:val="00C25495"/>
    <w:rsid w:val="00C44364"/>
    <w:rsid w:val="00C675AA"/>
    <w:rsid w:val="00C90DDC"/>
    <w:rsid w:val="00CE1839"/>
    <w:rsid w:val="00D12FC8"/>
    <w:rsid w:val="00DF3BCB"/>
    <w:rsid w:val="00E04B75"/>
    <w:rsid w:val="00EB075E"/>
    <w:rsid w:val="00F721E0"/>
    <w:rsid w:val="00F81EC4"/>
    <w:rsid w:val="00FB57E8"/>
    <w:rsid w:val="00FB7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72F64"/>
    <w:pPr>
      <w:keepNext/>
      <w:outlineLvl w:val="0"/>
    </w:pPr>
    <w:rPr>
      <w:rFonts w:ascii="Arial" w:hAnsi="Arial" w:cs="Arial"/>
      <w:b/>
      <w:bCs/>
    </w:rPr>
  </w:style>
  <w:style w:type="paragraph" w:styleId="Heading2">
    <w:name w:val="heading 2"/>
    <w:basedOn w:val="Normal"/>
    <w:next w:val="Normal"/>
    <w:link w:val="Heading2Char"/>
    <w:qFormat/>
    <w:rsid w:val="00572F64"/>
    <w:pPr>
      <w:keepNext/>
      <w:jc w:val="center"/>
      <w:outlineLvl w:val="1"/>
    </w:pPr>
    <w:rPr>
      <w:rFonts w:ascii="Arial" w:hAnsi="Arial" w:cs="Arial"/>
      <w:b/>
      <w:bCs/>
    </w:rPr>
  </w:style>
  <w:style w:type="paragraph" w:styleId="Heading3">
    <w:name w:val="heading 3"/>
    <w:basedOn w:val="Normal"/>
    <w:next w:val="Normal"/>
    <w:link w:val="Heading3Char"/>
    <w:qFormat/>
    <w:rsid w:val="00572F64"/>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64"/>
    <w:rPr>
      <w:rFonts w:ascii="Arial" w:eastAsia="Times New Roman" w:hAnsi="Arial" w:cs="Arial"/>
      <w:b/>
      <w:bCs/>
      <w:sz w:val="24"/>
      <w:szCs w:val="24"/>
      <w:lang w:val="en-GB"/>
    </w:rPr>
  </w:style>
  <w:style w:type="character" w:customStyle="1" w:styleId="Heading2Char">
    <w:name w:val="Heading 2 Char"/>
    <w:basedOn w:val="DefaultParagraphFont"/>
    <w:link w:val="Heading2"/>
    <w:rsid w:val="00572F64"/>
    <w:rPr>
      <w:rFonts w:ascii="Arial" w:eastAsia="Times New Roman" w:hAnsi="Arial" w:cs="Arial"/>
      <w:b/>
      <w:bCs/>
      <w:sz w:val="24"/>
      <w:szCs w:val="24"/>
      <w:lang w:val="en-GB"/>
    </w:rPr>
  </w:style>
  <w:style w:type="character" w:customStyle="1" w:styleId="Heading3Char">
    <w:name w:val="Heading 3 Char"/>
    <w:basedOn w:val="DefaultParagraphFont"/>
    <w:link w:val="Heading3"/>
    <w:rsid w:val="00572F64"/>
    <w:rPr>
      <w:rFonts w:ascii="Arial" w:eastAsia="Times New Roman" w:hAnsi="Arial" w:cs="Arial"/>
      <w:b/>
      <w:bCs/>
      <w:sz w:val="24"/>
      <w:szCs w:val="24"/>
      <w:u w:val="single"/>
      <w:lang w:val="en-GB"/>
    </w:rPr>
  </w:style>
  <w:style w:type="paragraph" w:styleId="ListParagraph">
    <w:name w:val="List Paragraph"/>
    <w:basedOn w:val="Normal"/>
    <w:uiPriority w:val="34"/>
    <w:qFormat/>
    <w:rsid w:val="00572F64"/>
    <w:pPr>
      <w:ind w:left="720"/>
    </w:pPr>
  </w:style>
  <w:style w:type="paragraph" w:styleId="Caption">
    <w:name w:val="caption"/>
    <w:basedOn w:val="Normal"/>
    <w:next w:val="Normal"/>
    <w:qFormat/>
    <w:rsid w:val="00572F64"/>
    <w:pPr>
      <w:jc w:val="center"/>
    </w:pPr>
    <w:rPr>
      <w:rFonts w:ascii="Arial" w:hAnsi="Arial"/>
      <w:b/>
      <w:szCs w:val="20"/>
      <w:lang w:val="en-NZ" w:eastAsia="en-GB"/>
    </w:rPr>
  </w:style>
  <w:style w:type="paragraph" w:styleId="BodyText">
    <w:name w:val="Body Text"/>
    <w:basedOn w:val="Normal"/>
    <w:link w:val="BodyTextChar"/>
    <w:rsid w:val="00572F64"/>
    <w:pPr>
      <w:spacing w:after="120"/>
    </w:pPr>
    <w:rPr>
      <w:rFonts w:eastAsia="MS Mincho"/>
      <w:lang w:eastAsia="ja-JP"/>
    </w:rPr>
  </w:style>
  <w:style w:type="character" w:customStyle="1" w:styleId="BodyTextChar">
    <w:name w:val="Body Text Char"/>
    <w:basedOn w:val="DefaultParagraphFont"/>
    <w:link w:val="BodyText"/>
    <w:rsid w:val="00572F64"/>
    <w:rPr>
      <w:rFonts w:ascii="Times New Roman" w:eastAsia="MS Mincho" w:hAnsi="Times New Roman" w:cs="Times New Roman"/>
      <w:sz w:val="24"/>
      <w:szCs w:val="24"/>
      <w:lang w:val="en-GB" w:eastAsia="ja-JP"/>
    </w:rPr>
  </w:style>
  <w:style w:type="paragraph" w:customStyle="1" w:styleId="Default">
    <w:name w:val="Default"/>
    <w:rsid w:val="008F126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6">
    <w:name w:val="CM16"/>
    <w:basedOn w:val="Default"/>
    <w:next w:val="Default"/>
    <w:rsid w:val="008F126D"/>
    <w:pPr>
      <w:spacing w:after="258"/>
    </w:pPr>
    <w:rPr>
      <w:color w:val="auto"/>
    </w:rPr>
  </w:style>
  <w:style w:type="character" w:styleId="Hyperlink">
    <w:name w:val="Hyperlink"/>
    <w:basedOn w:val="DefaultParagraphFont"/>
    <w:uiPriority w:val="99"/>
    <w:unhideWhenUsed/>
    <w:rsid w:val="003F2FF8"/>
    <w:rPr>
      <w:color w:val="0000FF" w:themeColor="hyperlink"/>
      <w:u w:val="single"/>
    </w:rPr>
  </w:style>
  <w:style w:type="paragraph" w:styleId="BalloonText">
    <w:name w:val="Balloon Text"/>
    <w:basedOn w:val="Normal"/>
    <w:link w:val="BalloonTextChar"/>
    <w:uiPriority w:val="99"/>
    <w:semiHidden/>
    <w:unhideWhenUsed/>
    <w:rsid w:val="0075185A"/>
    <w:rPr>
      <w:rFonts w:ascii="Tahoma" w:hAnsi="Tahoma" w:cs="Tahoma"/>
      <w:sz w:val="16"/>
      <w:szCs w:val="16"/>
    </w:rPr>
  </w:style>
  <w:style w:type="character" w:customStyle="1" w:styleId="BalloonTextChar">
    <w:name w:val="Balloon Text Char"/>
    <w:basedOn w:val="DefaultParagraphFont"/>
    <w:link w:val="BalloonText"/>
    <w:uiPriority w:val="99"/>
    <w:semiHidden/>
    <w:rsid w:val="0075185A"/>
    <w:rPr>
      <w:rFonts w:ascii="Tahoma" w:eastAsia="Times New Roman" w:hAnsi="Tahoma" w:cs="Tahoma"/>
      <w:sz w:val="16"/>
      <w:szCs w:val="16"/>
      <w:lang w:val="en-GB"/>
    </w:rPr>
  </w:style>
  <w:style w:type="table" w:styleId="TableGrid">
    <w:name w:val="Table Grid"/>
    <w:basedOn w:val="TableNormal"/>
    <w:uiPriority w:val="59"/>
    <w:rsid w:val="00E04B7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E04B75"/>
    <w:rPr>
      <w:lang w:val="en-ZA"/>
    </w:rPr>
  </w:style>
  <w:style w:type="paragraph" w:styleId="Footer">
    <w:name w:val="footer"/>
    <w:basedOn w:val="Normal"/>
    <w:link w:val="Foot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E04B75"/>
    <w:rPr>
      <w:lang w:val="en-ZA"/>
    </w:rPr>
  </w:style>
  <w:style w:type="paragraph" w:styleId="CommentText">
    <w:name w:val="annotation text"/>
    <w:basedOn w:val="Normal"/>
    <w:link w:val="CommentTextChar"/>
    <w:uiPriority w:val="99"/>
    <w:semiHidden/>
    <w:unhideWhenUsed/>
    <w:rsid w:val="00E04B75"/>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04B75"/>
    <w:rPr>
      <w:sz w:val="20"/>
      <w:szCs w:val="20"/>
      <w:lang w:val="en-ZA"/>
    </w:rPr>
  </w:style>
  <w:style w:type="character" w:customStyle="1" w:styleId="CommentSubjectChar">
    <w:name w:val="Comment Subject Char"/>
    <w:basedOn w:val="CommentTextChar"/>
    <w:link w:val="CommentSubject"/>
    <w:uiPriority w:val="99"/>
    <w:semiHidden/>
    <w:rsid w:val="00E04B75"/>
    <w:rPr>
      <w:b/>
      <w:bCs/>
      <w:sz w:val="20"/>
      <w:szCs w:val="20"/>
      <w:lang w:val="en-ZA"/>
    </w:rPr>
  </w:style>
  <w:style w:type="paragraph" w:styleId="CommentSubject">
    <w:name w:val="annotation subject"/>
    <w:basedOn w:val="CommentText"/>
    <w:next w:val="CommentText"/>
    <w:link w:val="CommentSubjectChar"/>
    <w:uiPriority w:val="99"/>
    <w:semiHidden/>
    <w:unhideWhenUsed/>
    <w:rsid w:val="00E04B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72F64"/>
    <w:pPr>
      <w:keepNext/>
      <w:outlineLvl w:val="0"/>
    </w:pPr>
    <w:rPr>
      <w:rFonts w:ascii="Arial" w:hAnsi="Arial" w:cs="Arial"/>
      <w:b/>
      <w:bCs/>
    </w:rPr>
  </w:style>
  <w:style w:type="paragraph" w:styleId="Heading2">
    <w:name w:val="heading 2"/>
    <w:basedOn w:val="Normal"/>
    <w:next w:val="Normal"/>
    <w:link w:val="Heading2Char"/>
    <w:qFormat/>
    <w:rsid w:val="00572F64"/>
    <w:pPr>
      <w:keepNext/>
      <w:jc w:val="center"/>
      <w:outlineLvl w:val="1"/>
    </w:pPr>
    <w:rPr>
      <w:rFonts w:ascii="Arial" w:hAnsi="Arial" w:cs="Arial"/>
      <w:b/>
      <w:bCs/>
    </w:rPr>
  </w:style>
  <w:style w:type="paragraph" w:styleId="Heading3">
    <w:name w:val="heading 3"/>
    <w:basedOn w:val="Normal"/>
    <w:next w:val="Normal"/>
    <w:link w:val="Heading3Char"/>
    <w:qFormat/>
    <w:rsid w:val="00572F64"/>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64"/>
    <w:rPr>
      <w:rFonts w:ascii="Arial" w:eastAsia="Times New Roman" w:hAnsi="Arial" w:cs="Arial"/>
      <w:b/>
      <w:bCs/>
      <w:sz w:val="24"/>
      <w:szCs w:val="24"/>
      <w:lang w:val="en-GB"/>
    </w:rPr>
  </w:style>
  <w:style w:type="character" w:customStyle="1" w:styleId="Heading2Char">
    <w:name w:val="Heading 2 Char"/>
    <w:basedOn w:val="DefaultParagraphFont"/>
    <w:link w:val="Heading2"/>
    <w:rsid w:val="00572F64"/>
    <w:rPr>
      <w:rFonts w:ascii="Arial" w:eastAsia="Times New Roman" w:hAnsi="Arial" w:cs="Arial"/>
      <w:b/>
      <w:bCs/>
      <w:sz w:val="24"/>
      <w:szCs w:val="24"/>
      <w:lang w:val="en-GB"/>
    </w:rPr>
  </w:style>
  <w:style w:type="character" w:customStyle="1" w:styleId="Heading3Char">
    <w:name w:val="Heading 3 Char"/>
    <w:basedOn w:val="DefaultParagraphFont"/>
    <w:link w:val="Heading3"/>
    <w:rsid w:val="00572F64"/>
    <w:rPr>
      <w:rFonts w:ascii="Arial" w:eastAsia="Times New Roman" w:hAnsi="Arial" w:cs="Arial"/>
      <w:b/>
      <w:bCs/>
      <w:sz w:val="24"/>
      <w:szCs w:val="24"/>
      <w:u w:val="single"/>
      <w:lang w:val="en-GB"/>
    </w:rPr>
  </w:style>
  <w:style w:type="paragraph" w:styleId="ListParagraph">
    <w:name w:val="List Paragraph"/>
    <w:basedOn w:val="Normal"/>
    <w:uiPriority w:val="34"/>
    <w:qFormat/>
    <w:rsid w:val="00572F64"/>
    <w:pPr>
      <w:ind w:left="720"/>
    </w:pPr>
  </w:style>
  <w:style w:type="paragraph" w:styleId="Caption">
    <w:name w:val="caption"/>
    <w:basedOn w:val="Normal"/>
    <w:next w:val="Normal"/>
    <w:qFormat/>
    <w:rsid w:val="00572F64"/>
    <w:pPr>
      <w:jc w:val="center"/>
    </w:pPr>
    <w:rPr>
      <w:rFonts w:ascii="Arial" w:hAnsi="Arial"/>
      <w:b/>
      <w:szCs w:val="20"/>
      <w:lang w:val="en-NZ" w:eastAsia="en-GB"/>
    </w:rPr>
  </w:style>
  <w:style w:type="paragraph" w:styleId="BodyText">
    <w:name w:val="Body Text"/>
    <w:basedOn w:val="Normal"/>
    <w:link w:val="BodyTextChar"/>
    <w:rsid w:val="00572F64"/>
    <w:pPr>
      <w:spacing w:after="120"/>
    </w:pPr>
    <w:rPr>
      <w:rFonts w:eastAsia="MS Mincho"/>
      <w:lang w:eastAsia="ja-JP"/>
    </w:rPr>
  </w:style>
  <w:style w:type="character" w:customStyle="1" w:styleId="BodyTextChar">
    <w:name w:val="Body Text Char"/>
    <w:basedOn w:val="DefaultParagraphFont"/>
    <w:link w:val="BodyText"/>
    <w:rsid w:val="00572F64"/>
    <w:rPr>
      <w:rFonts w:ascii="Times New Roman" w:eastAsia="MS Mincho" w:hAnsi="Times New Roman" w:cs="Times New Roman"/>
      <w:sz w:val="24"/>
      <w:szCs w:val="24"/>
      <w:lang w:val="en-GB" w:eastAsia="ja-JP"/>
    </w:rPr>
  </w:style>
  <w:style w:type="paragraph" w:customStyle="1" w:styleId="Default">
    <w:name w:val="Default"/>
    <w:rsid w:val="008F126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6">
    <w:name w:val="CM16"/>
    <w:basedOn w:val="Default"/>
    <w:next w:val="Default"/>
    <w:rsid w:val="008F126D"/>
    <w:pPr>
      <w:spacing w:after="258"/>
    </w:pPr>
    <w:rPr>
      <w:color w:val="auto"/>
    </w:rPr>
  </w:style>
  <w:style w:type="character" w:styleId="Hyperlink">
    <w:name w:val="Hyperlink"/>
    <w:basedOn w:val="DefaultParagraphFont"/>
    <w:uiPriority w:val="99"/>
    <w:unhideWhenUsed/>
    <w:rsid w:val="003F2FF8"/>
    <w:rPr>
      <w:color w:val="0000FF" w:themeColor="hyperlink"/>
      <w:u w:val="single"/>
    </w:rPr>
  </w:style>
  <w:style w:type="paragraph" w:styleId="BalloonText">
    <w:name w:val="Balloon Text"/>
    <w:basedOn w:val="Normal"/>
    <w:link w:val="BalloonTextChar"/>
    <w:uiPriority w:val="99"/>
    <w:semiHidden/>
    <w:unhideWhenUsed/>
    <w:rsid w:val="0075185A"/>
    <w:rPr>
      <w:rFonts w:ascii="Tahoma" w:hAnsi="Tahoma" w:cs="Tahoma"/>
      <w:sz w:val="16"/>
      <w:szCs w:val="16"/>
    </w:rPr>
  </w:style>
  <w:style w:type="character" w:customStyle="1" w:styleId="BalloonTextChar">
    <w:name w:val="Balloon Text Char"/>
    <w:basedOn w:val="DefaultParagraphFont"/>
    <w:link w:val="BalloonText"/>
    <w:uiPriority w:val="99"/>
    <w:semiHidden/>
    <w:rsid w:val="0075185A"/>
    <w:rPr>
      <w:rFonts w:ascii="Tahoma" w:eastAsia="Times New Roman" w:hAnsi="Tahoma" w:cs="Tahoma"/>
      <w:sz w:val="16"/>
      <w:szCs w:val="16"/>
      <w:lang w:val="en-GB"/>
    </w:rPr>
  </w:style>
  <w:style w:type="table" w:styleId="TableGrid">
    <w:name w:val="Table Grid"/>
    <w:basedOn w:val="TableNormal"/>
    <w:uiPriority w:val="59"/>
    <w:rsid w:val="00E04B7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E04B75"/>
    <w:rPr>
      <w:lang w:val="en-ZA"/>
    </w:rPr>
  </w:style>
  <w:style w:type="paragraph" w:styleId="Footer">
    <w:name w:val="footer"/>
    <w:basedOn w:val="Normal"/>
    <w:link w:val="FooterChar"/>
    <w:uiPriority w:val="99"/>
    <w:unhideWhenUsed/>
    <w:rsid w:val="00E04B75"/>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E04B75"/>
    <w:rPr>
      <w:lang w:val="en-ZA"/>
    </w:rPr>
  </w:style>
  <w:style w:type="paragraph" w:styleId="CommentText">
    <w:name w:val="annotation text"/>
    <w:basedOn w:val="Normal"/>
    <w:link w:val="CommentTextChar"/>
    <w:uiPriority w:val="99"/>
    <w:semiHidden/>
    <w:unhideWhenUsed/>
    <w:rsid w:val="00E04B75"/>
    <w:pPr>
      <w:spacing w:after="200"/>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E04B75"/>
    <w:rPr>
      <w:sz w:val="20"/>
      <w:szCs w:val="20"/>
      <w:lang w:val="en-ZA"/>
    </w:rPr>
  </w:style>
  <w:style w:type="character" w:customStyle="1" w:styleId="CommentSubjectChar">
    <w:name w:val="Comment Subject Char"/>
    <w:basedOn w:val="CommentTextChar"/>
    <w:link w:val="CommentSubject"/>
    <w:uiPriority w:val="99"/>
    <w:semiHidden/>
    <w:rsid w:val="00E04B75"/>
    <w:rPr>
      <w:b/>
      <w:bCs/>
      <w:sz w:val="20"/>
      <w:szCs w:val="20"/>
      <w:lang w:val="en-ZA"/>
    </w:rPr>
  </w:style>
  <w:style w:type="paragraph" w:styleId="CommentSubject">
    <w:name w:val="annotation subject"/>
    <w:basedOn w:val="CommentText"/>
    <w:next w:val="CommentText"/>
    <w:link w:val="CommentSubjectChar"/>
    <w:uiPriority w:val="99"/>
    <w:semiHidden/>
    <w:unhideWhenUsed/>
    <w:rsid w:val="00E0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Gudmundsson</dc:creator>
  <cp:lastModifiedBy>Kevin Gudmundsson</cp:lastModifiedBy>
  <cp:revision>2</cp:revision>
  <cp:lastPrinted>2014-11-08T03:49:00Z</cp:lastPrinted>
  <dcterms:created xsi:type="dcterms:W3CDTF">2014-11-08T03:50:00Z</dcterms:created>
  <dcterms:modified xsi:type="dcterms:W3CDTF">2014-11-08T03:50:00Z</dcterms:modified>
</cp:coreProperties>
</file>